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5E0E798D" w:rsidRDefault="53E92301" w14:paraId="251C038C" w14:textId="39EE9EAC">
      <w:pPr>
        <w:pStyle w:val="Normal"/>
        <w:rPr>
          <w:rFonts w:ascii="Arial" w:hAnsi="Arial" w:eastAsia="Times New Roman" w:cs="Arial"/>
          <w:b w:val="1"/>
          <w:bCs w:val="1"/>
          <w:color w:val="237D12" w:themeColor="text2"/>
          <w:sz w:val="48"/>
          <w:szCs w:val="48"/>
        </w:rPr>
      </w:pPr>
      <w:r w:rsidRPr="5E0E798D" w:rsidR="53E92301">
        <w:rPr>
          <w:rFonts w:ascii="Arial" w:hAnsi="Arial" w:eastAsia="Times New Roman" w:cs="Arial"/>
          <w:b w:val="1"/>
          <w:bCs w:val="1"/>
          <w:color w:val="227C12"/>
          <w:sz w:val="48"/>
          <w:szCs w:val="48"/>
        </w:rPr>
        <w:t>Insights and Considerations Learned from Workshop Participants</w:t>
      </w:r>
      <w:r w:rsidRPr="5E0E798D" w:rsidR="47765749">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r w:rsidRPr="5E0E798D" w:rsidR="6354C7FE">
        <w:rPr>
          <w:rFonts w:ascii="Arial" w:hAnsi="Arial" w:eastAsia="Times New Roman" w:cs="Arial"/>
          <w:b w:val="1"/>
          <w:bCs w:val="1"/>
          <w:color w:val="227C12"/>
          <w:sz w:val="48"/>
          <w:szCs w:val="48"/>
        </w:rPr>
        <w:t xml:space="preserve"> </w:t>
      </w:r>
    </w:p>
    <w:p w:rsidR="1A8C0002" w:rsidP="6EFFF2A5" w:rsidRDefault="00B05960" w14:paraId="330D1656" w14:textId="14E26CBA">
      <w:r w:rsidRPr="1CCCBE73" w:rsidR="00B05960">
        <w:rPr>
          <w:rFonts w:ascii="Arial" w:hAnsi="Arial" w:eastAsia="Times New Roman" w:cs="Arial"/>
          <w:b w:val="1"/>
          <w:bCs w:val="1"/>
          <w:color w:val="237D12" w:themeColor="text2" w:themeTint="FF" w:themeShade="FF"/>
          <w:sz w:val="32"/>
          <w:szCs w:val="32"/>
        </w:rPr>
        <w:t xml:space="preserve">Understanding </w:t>
      </w:r>
      <w:r w:rsidRPr="1CCCBE73" w:rsidR="00FB4318">
        <w:rPr>
          <w:rFonts w:ascii="Arial" w:hAnsi="Arial" w:eastAsia="Times New Roman" w:cs="Arial"/>
          <w:b w:val="1"/>
          <w:bCs w:val="1"/>
          <w:color w:val="237D12" w:themeColor="text2" w:themeTint="FF" w:themeShade="FF"/>
          <w:sz w:val="32"/>
          <w:szCs w:val="32"/>
        </w:rPr>
        <w:t>Hesitancies</w:t>
      </w:r>
      <w:r w:rsidRPr="1CCCBE73" w:rsidR="00B05960">
        <w:rPr>
          <w:rFonts w:ascii="Arial" w:hAnsi="Arial" w:eastAsia="Times New Roman" w:cs="Arial"/>
          <w:b w:val="1"/>
          <w:bCs w:val="1"/>
          <w:color w:val="237D12" w:themeColor="text2" w:themeTint="FF" w:themeShade="FF"/>
          <w:sz w:val="32"/>
          <w:szCs w:val="32"/>
        </w:rPr>
        <w:t xml:space="preserve"> of Communities</w:t>
      </w:r>
    </w:p>
    <w:p w:rsidRPr="006C5A53" w:rsidR="45F128E1" w:rsidP="1CCCBE73" w:rsidRDefault="45F128E1" w14:paraId="57FA92C2" w14:textId="6391761B">
      <w:pPr>
        <w:pStyle w:val="Normal"/>
        <w:rPr>
          <w:rFonts w:ascii="Arial" w:hAnsi="Arial" w:eastAsia="Arial" w:cs="Arial"/>
          <w:b w:val="1"/>
          <w:bCs w:val="1"/>
          <w:color w:val="237D12" w:themeColor="text2" w:themeTint="FF" w:themeShade="FF"/>
          <w:sz w:val="22"/>
          <w:szCs w:val="22"/>
        </w:rPr>
      </w:pPr>
      <w:r w:rsidRPr="1CCCBE73" w:rsidR="570115EA">
        <w:rPr>
          <w:rFonts w:ascii="Arial" w:hAnsi="Arial" w:eastAsia="Arial" w:cs="Arial"/>
          <w:b w:val="1"/>
          <w:bCs w:val="1"/>
          <w:color w:val="237D12" w:themeColor="text2" w:themeTint="FF" w:themeShade="FF"/>
          <w:sz w:val="22"/>
          <w:szCs w:val="22"/>
        </w:rPr>
        <w:t>2024</w:t>
      </w:r>
    </w:p>
    <w:p w:rsidRPr="006C5A53" w:rsidR="45F128E1" w:rsidP="1CCCBE73" w:rsidRDefault="45F128E1" w14:paraId="5737B5DF" w14:textId="6797DA05">
      <w:pPr>
        <w:pStyle w:val="Normal"/>
        <w:rPr>
          <w:rFonts w:ascii="Arial" w:hAnsi="Arial" w:eastAsia="Arial" w:cs="Arial"/>
          <w:b w:val="1"/>
          <w:bCs w:val="1"/>
          <w:color w:val="237D12" w:themeColor="text2" w:themeTint="FF" w:themeShade="FF"/>
          <w:sz w:val="22"/>
          <w:szCs w:val="22"/>
        </w:rPr>
      </w:pPr>
    </w:p>
    <w:p w:rsidRPr="006C5A53" w:rsidR="45F128E1" w:rsidP="1CCCBE73" w:rsidRDefault="45F128E1" w14:paraId="6E7F41EA" w14:textId="39147D97">
      <w:pPr>
        <w:pStyle w:val="Normal"/>
        <w:rPr>
          <w:rFonts w:ascii="Arial" w:hAnsi="Arial" w:eastAsia="Arial" w:cs="Arial"/>
          <w:b w:val="1"/>
          <w:bCs w:val="1"/>
          <w:color w:val="237D12" w:themeColor="text2"/>
          <w:sz w:val="22"/>
          <w:szCs w:val="22"/>
        </w:rPr>
      </w:pPr>
      <w:r w:rsidRPr="1CCCBE73" w:rsidR="45F128E1">
        <w:rPr>
          <w:rFonts w:ascii="Arial" w:hAnsi="Arial" w:eastAsia="Arial" w:cs="Arial"/>
          <w:b w:val="1"/>
          <w:bCs w:val="1"/>
          <w:color w:val="237D12" w:themeColor="text2" w:themeTint="FF" w:themeShade="FF"/>
          <w:sz w:val="22"/>
          <w:szCs w:val="22"/>
        </w:rPr>
        <w:t xml:space="preserve">Workshop Description </w:t>
      </w:r>
    </w:p>
    <w:p w:rsidR="00FB4318" w:rsidP="1CCCBE73" w:rsidRDefault="00FB4318" w14:paraId="1185B999" w14:textId="199B34FC">
      <w:pPr>
        <w:pStyle w:val="paragraph"/>
        <w:spacing w:before="0" w:beforeAutospacing="off" w:after="0" w:afterAutospacing="off"/>
        <w:textAlignment w:val="baseline"/>
        <w:rPr>
          <w:rFonts w:ascii="Segoe UI" w:hAnsi="Segoe UI" w:cs="Segoe UI"/>
          <w:b w:val="0"/>
          <w:bCs w:val="0"/>
          <w:sz w:val="18"/>
          <w:szCs w:val="18"/>
        </w:rPr>
      </w:pPr>
      <w:r w:rsidRPr="1CCCBE73" w:rsidR="00FB4318">
        <w:rPr>
          <w:rStyle w:val="normaltextrun"/>
          <w:rFonts w:ascii="Calibri" w:hAnsi="Calibri" w:cs="Calibri"/>
          <w:b w:val="0"/>
          <w:bCs w:val="0"/>
          <w:sz w:val="22"/>
          <w:szCs w:val="22"/>
        </w:rPr>
        <w:t>We asked participants about the hesitancies towards urban forestry initiatives that are important to understand about the community they serve and/or are a part of. </w:t>
      </w:r>
      <w:r w:rsidRPr="1CCCBE73" w:rsidR="00FB4318">
        <w:rPr>
          <w:rStyle w:val="eop"/>
          <w:rFonts w:ascii="Calibri" w:hAnsi="Calibri" w:cs="Calibri"/>
          <w:b w:val="0"/>
          <w:bCs w:val="0"/>
          <w:sz w:val="22"/>
          <w:szCs w:val="22"/>
        </w:rPr>
        <w:t> </w:t>
      </w:r>
      <w:r w:rsidRPr="1CCCBE73" w:rsidR="00FB4318">
        <w:rPr>
          <w:rStyle w:val="normaltextrun"/>
          <w:rFonts w:ascii="Calibri" w:hAnsi="Calibri" w:cs="Calibri"/>
          <w:b w:val="0"/>
          <w:bCs w:val="0"/>
          <w:sz w:val="22"/>
          <w:szCs w:val="22"/>
        </w:rPr>
        <w:t xml:space="preserve">These hesitancies were </w:t>
      </w:r>
      <w:r w:rsidRPr="1CCCBE73" w:rsidR="00FB4318">
        <w:rPr>
          <w:rStyle w:val="normaltextrun"/>
          <w:rFonts w:ascii="Calibri" w:hAnsi="Calibri" w:cs="Calibri"/>
          <w:b w:val="0"/>
          <w:bCs w:val="0"/>
          <w:sz w:val="22"/>
          <w:szCs w:val="22"/>
        </w:rPr>
        <w:t>identified</w:t>
      </w:r>
      <w:r w:rsidRPr="1CCCBE73" w:rsidR="00FB4318">
        <w:rPr>
          <w:rStyle w:val="normaltextrun"/>
          <w:rFonts w:ascii="Calibri" w:hAnsi="Calibri" w:cs="Calibri"/>
          <w:b w:val="0"/>
          <w:bCs w:val="0"/>
          <w:sz w:val="22"/>
          <w:szCs w:val="22"/>
        </w:rPr>
        <w:t xml:space="preserve"> through all five sets of workshops. More specific hesitancies from specific communities are </w:t>
      </w:r>
      <w:r w:rsidRPr="1CCCBE73" w:rsidR="00FB4318">
        <w:rPr>
          <w:rStyle w:val="normaltextrun"/>
          <w:rFonts w:ascii="Calibri" w:hAnsi="Calibri" w:cs="Calibri"/>
          <w:b w:val="0"/>
          <w:bCs w:val="0"/>
          <w:sz w:val="22"/>
          <w:szCs w:val="22"/>
        </w:rPr>
        <w:t>identified</w:t>
      </w:r>
      <w:r w:rsidRPr="1CCCBE73" w:rsidR="00FB4318">
        <w:rPr>
          <w:rStyle w:val="normaltextrun"/>
          <w:rFonts w:ascii="Calibri" w:hAnsi="Calibri" w:cs="Calibri"/>
          <w:b w:val="0"/>
          <w:bCs w:val="0"/>
          <w:sz w:val="22"/>
          <w:szCs w:val="22"/>
        </w:rPr>
        <w:t xml:space="preserve">, as well. While these insights can provide guidance concerning engaging with specific communities, we recognize the limitation that a set of workshops is only a small </w:t>
      </w:r>
      <w:r w:rsidRPr="1CCCBE73" w:rsidR="00FB4318">
        <w:rPr>
          <w:rStyle w:val="normaltextrun"/>
          <w:rFonts w:ascii="Calibri" w:hAnsi="Calibri" w:cs="Calibri"/>
          <w:b w:val="0"/>
          <w:bCs w:val="0"/>
          <w:sz w:val="22"/>
          <w:szCs w:val="22"/>
        </w:rPr>
        <w:t>component</w:t>
      </w:r>
      <w:r w:rsidRPr="1CCCBE73" w:rsidR="00FB4318">
        <w:rPr>
          <w:rStyle w:val="normaltextrun"/>
          <w:rFonts w:ascii="Calibri" w:hAnsi="Calibri" w:cs="Calibri"/>
          <w:b w:val="0"/>
          <w:bCs w:val="0"/>
          <w:sz w:val="22"/>
          <w:szCs w:val="22"/>
        </w:rPr>
        <w:t xml:space="preserve"> of best practices in community engagement. </w:t>
      </w:r>
      <w:r w:rsidRPr="1CCCBE73" w:rsidR="00FB4318">
        <w:rPr>
          <w:rStyle w:val="eop"/>
          <w:rFonts w:ascii="Calibri" w:hAnsi="Calibri" w:cs="Calibri"/>
          <w:b w:val="0"/>
          <w:bCs w:val="0"/>
          <w:sz w:val="22"/>
          <w:szCs w:val="22"/>
        </w:rPr>
        <w:t> </w:t>
      </w:r>
    </w:p>
    <w:p w:rsidR="1CCCBE73" w:rsidP="1CCCBE73" w:rsidRDefault="1CCCBE73" w14:paraId="1E2BD910" w14:textId="7AE9F985">
      <w:pPr>
        <w:pStyle w:val="paragraph"/>
        <w:spacing w:before="0" w:beforeAutospacing="off" w:after="0" w:afterAutospacing="off"/>
        <w:rPr>
          <w:rStyle w:val="eop"/>
          <w:rFonts w:ascii="Calibri" w:hAnsi="Calibri" w:cs="Calibri"/>
          <w:b w:val="0"/>
          <w:bCs w:val="0"/>
          <w:sz w:val="22"/>
          <w:szCs w:val="22"/>
        </w:rPr>
      </w:pPr>
    </w:p>
    <w:p w:rsidR="2C0F3E34" w:rsidP="1CCCBE73" w:rsidRDefault="2C0F3E34" w14:paraId="3B5FCE1B" w14:textId="120504F7">
      <w:pPr>
        <w:pStyle w:val="paragraph"/>
        <w:spacing w:before="0" w:beforeAutospacing="off" w:after="0" w:afterAutospacing="off"/>
        <w:rPr>
          <w:rFonts w:ascii="Arial" w:hAnsi="Arial" w:eastAsia="Arial" w:cs="Arial"/>
          <w:color w:val="237D12" w:themeColor="text2" w:themeTint="FF" w:themeShade="FF"/>
          <w:sz w:val="22"/>
          <w:szCs w:val="22"/>
        </w:rPr>
      </w:pPr>
      <w:r w:rsidRPr="1CCCBE73" w:rsidR="2C0F3E34">
        <w:rPr>
          <w:rFonts w:ascii="Arial" w:hAnsi="Arial" w:eastAsia="Arial" w:cs="Arial"/>
          <w:b w:val="1"/>
          <w:bCs w:val="1"/>
          <w:color w:val="237D12" w:themeColor="text2" w:themeTint="FF" w:themeShade="FF"/>
          <w:sz w:val="22"/>
          <w:szCs w:val="22"/>
        </w:rPr>
        <w:t>Insights</w:t>
      </w:r>
      <w:r w:rsidRPr="1CCCBE73" w:rsidR="2C0F3E34">
        <w:rPr>
          <w:rFonts w:ascii="Arial" w:hAnsi="Arial" w:eastAsia="Arial" w:cs="Arial"/>
          <w:b w:val="1"/>
          <w:bCs w:val="1"/>
          <w:color w:val="237D12" w:themeColor="text2" w:themeTint="FF" w:themeShade="FF"/>
          <w:sz w:val="22"/>
          <w:szCs w:val="22"/>
        </w:rPr>
        <w:t xml:space="preserve"> and Considerations</w:t>
      </w:r>
    </w:p>
    <w:p w:rsidR="1CCCBE73" w:rsidP="1CCCBE73" w:rsidRDefault="1CCCBE73" w14:paraId="521F5353" w14:textId="3F8D48F9">
      <w:pPr>
        <w:pStyle w:val="paragraph"/>
        <w:spacing w:before="0" w:beforeAutospacing="off" w:after="0" w:afterAutospacing="off"/>
        <w:rPr>
          <w:rStyle w:val="eop"/>
          <w:rFonts w:ascii="Calibri" w:hAnsi="Calibri" w:cs="Calibri"/>
          <w:b w:val="0"/>
          <w:bCs w:val="0"/>
          <w:sz w:val="22"/>
          <w:szCs w:val="22"/>
        </w:rPr>
      </w:pPr>
    </w:p>
    <w:p w:rsidR="21C9A1F7" w:rsidP="1CCCBE73" w:rsidRDefault="21C9A1F7" w14:paraId="4A96A018" w14:textId="3A7F98D0">
      <w:pPr>
        <w:pStyle w:val="paragraph"/>
        <w:spacing w:before="0" w:beforeAutospacing="off" w:after="0" w:afterAutospacing="off"/>
        <w:rPr>
          <w:rStyle w:val="eop"/>
          <w:rFonts w:ascii="Arial" w:hAnsi="Arial" w:eastAsia="Arial" w:cs="Arial"/>
          <w:b w:val="1"/>
          <w:bCs w:val="1"/>
          <w:i w:val="1"/>
          <w:iCs w:val="1"/>
          <w:sz w:val="22"/>
          <w:szCs w:val="22"/>
          <w:u w:val="single"/>
        </w:rPr>
      </w:pPr>
      <w:r w:rsidRPr="1CCCBE73" w:rsidR="21C9A1F7">
        <w:rPr>
          <w:rStyle w:val="eop"/>
          <w:rFonts w:ascii="Arial" w:hAnsi="Arial" w:eastAsia="Arial" w:cs="Arial"/>
          <w:b w:val="1"/>
          <w:bCs w:val="1"/>
          <w:i w:val="1"/>
          <w:iCs w:val="1"/>
          <w:sz w:val="22"/>
          <w:szCs w:val="22"/>
          <w:u w:val="single"/>
        </w:rPr>
        <w:t>General</w:t>
      </w:r>
    </w:p>
    <w:p w:rsidRPr="00910223" w:rsidR="00910223" w:rsidP="1CCCBE73" w:rsidRDefault="00910223" w14:paraId="5EDFA22D" w14:textId="77777777" w14:noSpellErr="1">
      <w:pPr>
        <w:pStyle w:val="ListParagraph"/>
        <w:spacing w:after="0" w:line="240" w:lineRule="auto"/>
        <w:rPr>
          <w:rFonts w:eastAsia="" w:eastAsiaTheme="minorEastAsia"/>
        </w:rPr>
      </w:pPr>
    </w:p>
    <w:p w:rsidR="00910223" w:rsidP="1CCCBE73" w:rsidRDefault="00910223" w14:paraId="30377B2A" w14:textId="56FB3D50">
      <w:pPr>
        <w:pStyle w:val="ListParagraph"/>
        <w:numPr>
          <w:ilvl w:val="0"/>
          <w:numId w:val="60"/>
        </w:numPr>
        <w:spacing w:after="0"/>
        <w:rPr>
          <w:rFonts w:eastAsia="" w:eastAsiaTheme="minorEastAsia"/>
        </w:rPr>
      </w:pPr>
      <w:r w:rsidRPr="1CCCBE73" w:rsidR="00910223">
        <w:rPr>
          <w:rFonts w:eastAsia="" w:eastAsiaTheme="minorEastAsia"/>
          <w:b w:val="1"/>
          <w:bCs w:val="1"/>
        </w:rPr>
        <w:t>Resource Challenges</w:t>
      </w:r>
    </w:p>
    <w:p w:rsidR="00910223" w:rsidP="00910223" w:rsidRDefault="00910223" w14:paraId="5B7CBDFE" w14:textId="77777777">
      <w:pPr>
        <w:pStyle w:val="ListParagraph"/>
        <w:numPr>
          <w:ilvl w:val="1"/>
          <w:numId w:val="60"/>
        </w:numPr>
        <w:spacing w:after="0"/>
        <w:rPr>
          <w:rFonts w:eastAsiaTheme="minorEastAsia"/>
        </w:rPr>
      </w:pPr>
      <w:r w:rsidRPr="5731249C">
        <w:rPr>
          <w:rFonts w:eastAsiaTheme="minorEastAsia"/>
          <w:b/>
          <w:bCs/>
        </w:rPr>
        <w:t>Funding Concerns:</w:t>
      </w:r>
      <w:r w:rsidRPr="5731249C">
        <w:rPr>
          <w:rFonts w:eastAsiaTheme="minorEastAsia"/>
        </w:rPr>
        <w:t xml:space="preserve"> Lack of financial resources raises questions about sustainability and longevity.</w:t>
      </w:r>
    </w:p>
    <w:p w:rsidR="00910223" w:rsidP="00910223" w:rsidRDefault="00910223" w14:paraId="5B919AE7" w14:textId="77777777">
      <w:pPr>
        <w:pStyle w:val="ListParagraph"/>
        <w:numPr>
          <w:ilvl w:val="1"/>
          <w:numId w:val="60"/>
        </w:numPr>
        <w:spacing w:after="0"/>
        <w:rPr>
          <w:rFonts w:eastAsiaTheme="minorEastAsia"/>
        </w:rPr>
      </w:pPr>
      <w:r w:rsidRPr="5731249C">
        <w:rPr>
          <w:rFonts w:eastAsiaTheme="minorEastAsia"/>
          <w:b/>
          <w:bCs/>
        </w:rPr>
        <w:t>Time Constraints:</w:t>
      </w:r>
      <w:r w:rsidRPr="5731249C">
        <w:rPr>
          <w:rFonts w:eastAsiaTheme="minorEastAsia"/>
        </w:rPr>
        <w:t xml:space="preserve"> Limited time and financial priorities create challenges in dedicating efforts to green initiatives.</w:t>
      </w:r>
    </w:p>
    <w:p w:rsidR="00910223" w:rsidP="1CCCBE73" w:rsidRDefault="00910223" w14:paraId="7BF083C1" w14:textId="17E33522">
      <w:pPr>
        <w:pStyle w:val="ListParagraph"/>
        <w:numPr>
          <w:ilvl w:val="0"/>
          <w:numId w:val="60"/>
        </w:numPr>
        <w:spacing w:before="240" w:after="240"/>
        <w:rPr>
          <w:rFonts w:eastAsia="" w:eastAsiaTheme="minorEastAsia"/>
        </w:rPr>
      </w:pPr>
      <w:r w:rsidRPr="1CCCBE73" w:rsidR="00910223">
        <w:rPr>
          <w:rFonts w:eastAsia="" w:eastAsiaTheme="minorEastAsia"/>
          <w:b w:val="1"/>
          <w:bCs w:val="1"/>
        </w:rPr>
        <w:t>Access and Safety</w:t>
      </w:r>
    </w:p>
    <w:p w:rsidR="00910223" w:rsidP="00910223" w:rsidRDefault="00910223" w14:paraId="54FB7C45" w14:textId="77777777">
      <w:pPr>
        <w:pStyle w:val="ListParagraph"/>
        <w:numPr>
          <w:ilvl w:val="1"/>
          <w:numId w:val="60"/>
        </w:numPr>
        <w:spacing w:after="0"/>
        <w:rPr>
          <w:rFonts w:eastAsiaTheme="minorEastAsia"/>
        </w:rPr>
      </w:pPr>
      <w:r w:rsidRPr="5731249C">
        <w:rPr>
          <w:rFonts w:eastAsiaTheme="minorEastAsia"/>
          <w:b/>
          <w:bCs/>
        </w:rPr>
        <w:t>Unwelcoming Spaces:</w:t>
      </w:r>
      <w:r w:rsidRPr="5731249C">
        <w:rPr>
          <w:rFonts w:eastAsiaTheme="minorEastAsia"/>
        </w:rPr>
        <w:t xml:space="preserve"> Fear of being unwelcome due to language barriers, geographic location, and concerns about crime.</w:t>
      </w:r>
    </w:p>
    <w:p w:rsidR="00910223" w:rsidP="00910223" w:rsidRDefault="00910223" w14:paraId="4EDB5854" w14:textId="77777777">
      <w:pPr>
        <w:pStyle w:val="ListParagraph"/>
        <w:numPr>
          <w:ilvl w:val="1"/>
          <w:numId w:val="60"/>
        </w:numPr>
        <w:spacing w:after="0"/>
        <w:rPr>
          <w:rFonts w:eastAsiaTheme="minorEastAsia"/>
        </w:rPr>
      </w:pPr>
      <w:r w:rsidRPr="5731249C">
        <w:rPr>
          <w:rFonts w:eastAsiaTheme="minorEastAsia"/>
          <w:b/>
          <w:bCs/>
        </w:rPr>
        <w:t>Safety and Legal Hesitancy:</w:t>
      </w:r>
      <w:r w:rsidRPr="5731249C">
        <w:rPr>
          <w:rFonts w:eastAsiaTheme="minorEastAsia"/>
        </w:rPr>
        <w:t xml:space="preserve"> Concerns about personal safety, legal consequences, and hesitancy in accessing official spaces.</w:t>
      </w:r>
    </w:p>
    <w:p w:rsidR="00910223" w:rsidP="1CCCBE73" w:rsidRDefault="00910223" w14:paraId="4FD8729F" w14:textId="1CFE3814">
      <w:pPr>
        <w:pStyle w:val="ListParagraph"/>
        <w:numPr>
          <w:ilvl w:val="0"/>
          <w:numId w:val="60"/>
        </w:numPr>
        <w:spacing w:before="240" w:after="240"/>
        <w:rPr>
          <w:rFonts w:eastAsia="" w:eastAsiaTheme="minorEastAsia"/>
        </w:rPr>
      </w:pPr>
      <w:r w:rsidRPr="1CCCBE73" w:rsidR="00910223">
        <w:rPr>
          <w:rFonts w:eastAsia="" w:eastAsiaTheme="minorEastAsia"/>
          <w:b w:val="1"/>
          <w:bCs w:val="1"/>
        </w:rPr>
        <w:t>Government Distrust</w:t>
      </w:r>
    </w:p>
    <w:p w:rsidR="00910223" w:rsidP="00910223" w:rsidRDefault="00910223" w14:paraId="3DB20B03" w14:textId="77777777">
      <w:pPr>
        <w:pStyle w:val="ListParagraph"/>
        <w:numPr>
          <w:ilvl w:val="1"/>
          <w:numId w:val="60"/>
        </w:numPr>
        <w:spacing w:after="0"/>
        <w:rPr>
          <w:rFonts w:eastAsiaTheme="minorEastAsia"/>
        </w:rPr>
      </w:pPr>
      <w:r w:rsidRPr="5731249C">
        <w:rPr>
          <w:rFonts w:eastAsiaTheme="minorEastAsia"/>
          <w:b/>
          <w:bCs/>
        </w:rPr>
        <w:t>Generational Trauma:</w:t>
      </w:r>
      <w:r w:rsidRPr="5731249C">
        <w:rPr>
          <w:rFonts w:eastAsiaTheme="minorEastAsia"/>
        </w:rPr>
        <w:t xml:space="preserve"> Historical betrayal and skepticism towards official government efforts.</w:t>
      </w:r>
    </w:p>
    <w:p w:rsidR="00910223" w:rsidP="00910223" w:rsidRDefault="00910223" w14:paraId="725D5657" w14:textId="77777777">
      <w:pPr>
        <w:pStyle w:val="ListParagraph"/>
        <w:numPr>
          <w:ilvl w:val="1"/>
          <w:numId w:val="60"/>
        </w:numPr>
        <w:spacing w:after="0"/>
        <w:rPr>
          <w:rFonts w:eastAsiaTheme="minorEastAsia"/>
        </w:rPr>
      </w:pPr>
      <w:r w:rsidRPr="5731249C">
        <w:rPr>
          <w:rFonts w:eastAsiaTheme="minorEastAsia"/>
          <w:b/>
          <w:bCs/>
        </w:rPr>
        <w:t>Fear of Official Efforts:</w:t>
      </w:r>
      <w:r w:rsidRPr="5731249C">
        <w:rPr>
          <w:rFonts w:eastAsiaTheme="minorEastAsia"/>
        </w:rPr>
        <w:t xml:space="preserve"> Doubts about the authenticity and success of initiatives led by government officials.</w:t>
      </w:r>
    </w:p>
    <w:p w:rsidR="00910223" w:rsidP="1CCCBE73" w:rsidRDefault="00910223" w14:paraId="01C64929" w14:textId="58FB579E">
      <w:pPr>
        <w:pStyle w:val="ListParagraph"/>
        <w:numPr>
          <w:ilvl w:val="0"/>
          <w:numId w:val="60"/>
        </w:numPr>
        <w:spacing w:before="240" w:after="240"/>
        <w:rPr>
          <w:rFonts w:eastAsia="" w:eastAsiaTheme="minorEastAsia"/>
        </w:rPr>
      </w:pPr>
      <w:r w:rsidRPr="1CCCBE73" w:rsidR="00910223">
        <w:rPr>
          <w:rFonts w:eastAsia="" w:eastAsiaTheme="minorEastAsia"/>
          <w:b w:val="1"/>
          <w:bCs w:val="1"/>
        </w:rPr>
        <w:t>Educational Gaps</w:t>
      </w:r>
    </w:p>
    <w:p w:rsidR="00910223" w:rsidP="00910223" w:rsidRDefault="00910223" w14:paraId="2EF15F9F" w14:textId="77777777">
      <w:pPr>
        <w:pStyle w:val="ListParagraph"/>
        <w:numPr>
          <w:ilvl w:val="1"/>
          <w:numId w:val="60"/>
        </w:numPr>
        <w:spacing w:after="0"/>
        <w:rPr>
          <w:rFonts w:eastAsiaTheme="minorEastAsia"/>
        </w:rPr>
      </w:pPr>
      <w:r w:rsidRPr="5731249C">
        <w:rPr>
          <w:rFonts w:eastAsiaTheme="minorEastAsia"/>
          <w:b/>
          <w:bCs/>
        </w:rPr>
        <w:t>Lack of Knowledge:</w:t>
      </w:r>
      <w:r w:rsidRPr="5731249C">
        <w:rPr>
          <w:rFonts w:eastAsiaTheme="minorEastAsia"/>
        </w:rPr>
        <w:t xml:space="preserve"> Limited understanding of environmental factors like air quality and heat index.</w:t>
      </w:r>
    </w:p>
    <w:p w:rsidR="00910223" w:rsidP="00910223" w:rsidRDefault="00910223" w14:paraId="7CEE134D" w14:textId="77777777">
      <w:pPr>
        <w:pStyle w:val="ListParagraph"/>
        <w:numPr>
          <w:ilvl w:val="1"/>
          <w:numId w:val="60"/>
        </w:numPr>
        <w:spacing w:after="0"/>
        <w:rPr>
          <w:rFonts w:eastAsiaTheme="minorEastAsia"/>
        </w:rPr>
      </w:pPr>
      <w:r w:rsidRPr="5731249C">
        <w:rPr>
          <w:rFonts w:eastAsiaTheme="minorEastAsia"/>
          <w:b/>
          <w:bCs/>
        </w:rPr>
        <w:t>Educational Deficiency:</w:t>
      </w:r>
      <w:r w:rsidRPr="5731249C">
        <w:rPr>
          <w:rFonts w:eastAsiaTheme="minorEastAsia"/>
        </w:rPr>
        <w:t xml:space="preserve"> Insufficient education about composting, planting, and available resources, leading to distrust in city systems.</w:t>
      </w:r>
    </w:p>
    <w:p w:rsidR="00910223" w:rsidP="1CCCBE73" w:rsidRDefault="00910223" w14:paraId="54677F30" w14:textId="4EC6275B">
      <w:pPr>
        <w:pStyle w:val="ListParagraph"/>
        <w:numPr>
          <w:ilvl w:val="0"/>
          <w:numId w:val="60"/>
        </w:numPr>
        <w:spacing w:before="240" w:after="240"/>
        <w:rPr>
          <w:rFonts w:eastAsia="" w:eastAsiaTheme="minorEastAsia"/>
        </w:rPr>
      </w:pPr>
      <w:r w:rsidRPr="1CCCBE73" w:rsidR="00910223">
        <w:rPr>
          <w:rFonts w:eastAsia="" w:eastAsiaTheme="minorEastAsia"/>
          <w:b w:val="1"/>
          <w:bCs w:val="1"/>
        </w:rPr>
        <w:t>Cultural Barriers</w:t>
      </w:r>
    </w:p>
    <w:p w:rsidR="00910223" w:rsidP="00910223" w:rsidRDefault="00910223" w14:paraId="218724FD" w14:textId="77777777">
      <w:pPr>
        <w:pStyle w:val="ListParagraph"/>
        <w:numPr>
          <w:ilvl w:val="1"/>
          <w:numId w:val="60"/>
        </w:numPr>
        <w:spacing w:after="0"/>
        <w:rPr>
          <w:rFonts w:eastAsiaTheme="minorEastAsia"/>
        </w:rPr>
      </w:pPr>
      <w:r w:rsidRPr="5731249C">
        <w:rPr>
          <w:rFonts w:eastAsiaTheme="minorEastAsia"/>
          <w:b/>
          <w:bCs/>
        </w:rPr>
        <w:t>Language and Cultural Differences:</w:t>
      </w:r>
      <w:r w:rsidRPr="5731249C">
        <w:rPr>
          <w:rFonts w:eastAsiaTheme="minorEastAsia"/>
        </w:rPr>
        <w:t xml:space="preserve"> Language barriers and challenges related to cultural practices, transportation, and system engagement.</w:t>
      </w:r>
    </w:p>
    <w:p w:rsidR="00910223" w:rsidP="00910223" w:rsidRDefault="00910223" w14:paraId="58A2BB80" w14:textId="77777777">
      <w:pPr>
        <w:pStyle w:val="ListParagraph"/>
        <w:numPr>
          <w:ilvl w:val="1"/>
          <w:numId w:val="60"/>
        </w:numPr>
        <w:spacing w:after="0"/>
        <w:rPr>
          <w:rFonts w:eastAsiaTheme="minorEastAsia"/>
        </w:rPr>
      </w:pPr>
      <w:r w:rsidRPr="5731249C">
        <w:rPr>
          <w:rFonts w:eastAsiaTheme="minorEastAsia"/>
          <w:b/>
          <w:bCs/>
        </w:rPr>
        <w:t>Miscommunication and Knowledge Gap:</w:t>
      </w:r>
      <w:r w:rsidRPr="5731249C">
        <w:rPr>
          <w:rFonts w:eastAsiaTheme="minorEastAsia"/>
        </w:rPr>
        <w:t xml:space="preserve"> Pervasive miscommunication and a lack of knowledge affecting community attitudes toward urban forestry.</w:t>
      </w:r>
    </w:p>
    <w:p w:rsidRPr="00910223" w:rsidR="00910223" w:rsidP="00910223" w:rsidRDefault="00910223" w14:paraId="357868B5" w14:textId="77777777">
      <w:pPr>
        <w:pStyle w:val="ListParagraph"/>
        <w:spacing w:before="240" w:after="240"/>
        <w:rPr>
          <w:rFonts w:eastAsiaTheme="minorEastAsia"/>
        </w:rPr>
      </w:pPr>
    </w:p>
    <w:p w:rsidR="00910223" w:rsidP="1CCCBE73" w:rsidRDefault="00910223" w14:paraId="7600032D" w14:textId="27637170">
      <w:pPr>
        <w:pStyle w:val="ListParagraph"/>
        <w:numPr>
          <w:ilvl w:val="0"/>
          <w:numId w:val="60"/>
        </w:numPr>
        <w:spacing w:before="240" w:after="240"/>
        <w:rPr>
          <w:rFonts w:eastAsia="" w:eastAsiaTheme="minorEastAsia"/>
        </w:rPr>
      </w:pPr>
      <w:r w:rsidRPr="1CCCBE73" w:rsidR="00910223">
        <w:rPr>
          <w:rFonts w:eastAsia="" w:eastAsiaTheme="minorEastAsia"/>
          <w:b w:val="1"/>
          <w:bCs w:val="1"/>
        </w:rPr>
        <w:t>Community Engagement and Buy-In</w:t>
      </w:r>
    </w:p>
    <w:p w:rsidR="00910223" w:rsidP="00910223" w:rsidRDefault="00910223" w14:paraId="7986C1D7" w14:textId="77777777">
      <w:pPr>
        <w:pStyle w:val="ListParagraph"/>
        <w:numPr>
          <w:ilvl w:val="1"/>
          <w:numId w:val="60"/>
        </w:numPr>
        <w:spacing w:after="0"/>
        <w:rPr>
          <w:rFonts w:eastAsiaTheme="minorEastAsia"/>
        </w:rPr>
      </w:pPr>
      <w:r w:rsidRPr="5731249C">
        <w:rPr>
          <w:rFonts w:eastAsiaTheme="minorEastAsia"/>
          <w:b/>
          <w:bCs/>
        </w:rPr>
        <w:t>Limited Community Involvement:</w:t>
      </w:r>
      <w:r w:rsidRPr="5731249C">
        <w:rPr>
          <w:rFonts w:eastAsiaTheme="minorEastAsia"/>
        </w:rPr>
        <w:t xml:space="preserve"> Historical disappointments, skepticism, and lack of buy-in from communities.</w:t>
      </w:r>
    </w:p>
    <w:p w:rsidR="00910223" w:rsidP="00910223" w:rsidRDefault="00910223" w14:paraId="41C755E8" w14:textId="77777777">
      <w:pPr>
        <w:pStyle w:val="ListParagraph"/>
        <w:numPr>
          <w:ilvl w:val="1"/>
          <w:numId w:val="60"/>
        </w:numPr>
        <w:spacing w:after="0"/>
        <w:rPr>
          <w:rFonts w:eastAsiaTheme="minorEastAsia"/>
        </w:rPr>
      </w:pPr>
      <w:r w:rsidRPr="5731249C">
        <w:rPr>
          <w:rFonts w:eastAsiaTheme="minorEastAsia"/>
          <w:b/>
          <w:bCs/>
        </w:rPr>
        <w:t>Vulnerability Concerns:</w:t>
      </w:r>
      <w:r w:rsidRPr="5731249C">
        <w:rPr>
          <w:rFonts w:eastAsiaTheme="minorEastAsia"/>
        </w:rPr>
        <w:t xml:space="preserve"> Resistance to engagement due to potential failure and vulnerability in supporting new initiatives.</w:t>
      </w:r>
    </w:p>
    <w:p w:rsidR="00910223" w:rsidP="1CCCBE73" w:rsidRDefault="00910223" w14:paraId="1737886A" w14:textId="216A0090">
      <w:pPr>
        <w:pStyle w:val="ListParagraph"/>
        <w:numPr>
          <w:ilvl w:val="0"/>
          <w:numId w:val="60"/>
        </w:numPr>
        <w:spacing w:before="240" w:after="240"/>
        <w:rPr>
          <w:rFonts w:eastAsia="" w:eastAsiaTheme="minorEastAsia"/>
        </w:rPr>
      </w:pPr>
      <w:r w:rsidRPr="1CCCBE73" w:rsidR="00910223">
        <w:rPr>
          <w:rFonts w:eastAsia="" w:eastAsiaTheme="minorEastAsia"/>
          <w:b w:val="1"/>
          <w:bCs w:val="1"/>
        </w:rPr>
        <w:t>Resource Allocation and Affordability</w:t>
      </w:r>
    </w:p>
    <w:p w:rsidR="00910223" w:rsidP="00910223" w:rsidRDefault="00910223" w14:paraId="487909E6" w14:textId="77777777">
      <w:pPr>
        <w:pStyle w:val="ListParagraph"/>
        <w:numPr>
          <w:ilvl w:val="1"/>
          <w:numId w:val="60"/>
        </w:numPr>
        <w:spacing w:after="0"/>
        <w:rPr>
          <w:rFonts w:eastAsiaTheme="minorEastAsia"/>
        </w:rPr>
      </w:pPr>
      <w:r w:rsidRPr="5731249C">
        <w:rPr>
          <w:rFonts w:eastAsiaTheme="minorEastAsia"/>
          <w:b/>
          <w:bCs/>
        </w:rPr>
        <w:t>Volunteer Burnout:</w:t>
      </w:r>
      <w:r w:rsidRPr="5731249C">
        <w:rPr>
          <w:rFonts w:eastAsiaTheme="minorEastAsia"/>
        </w:rPr>
        <w:t xml:space="preserve"> Burnout from managing burdens without adequate assistance and funding.</w:t>
      </w:r>
    </w:p>
    <w:p w:rsidR="00910223" w:rsidP="00910223" w:rsidRDefault="00910223" w14:paraId="667D89A7" w14:textId="77777777">
      <w:pPr>
        <w:pStyle w:val="ListParagraph"/>
        <w:numPr>
          <w:ilvl w:val="1"/>
          <w:numId w:val="60"/>
        </w:numPr>
        <w:spacing w:after="0"/>
        <w:rPr>
          <w:rFonts w:eastAsiaTheme="minorEastAsia"/>
        </w:rPr>
      </w:pPr>
      <w:r w:rsidRPr="5731249C">
        <w:rPr>
          <w:rFonts w:eastAsiaTheme="minorEastAsia"/>
          <w:b/>
          <w:bCs/>
        </w:rPr>
        <w:t>Affordability and Money Concerns:</w:t>
      </w:r>
      <w:r w:rsidRPr="5731249C">
        <w:rPr>
          <w:rFonts w:eastAsiaTheme="minorEastAsia"/>
        </w:rPr>
        <w:t xml:space="preserve"> Affordability challenges for basic needs, inflation, and uncertainties about the sustainability of green space programs.</w:t>
      </w:r>
    </w:p>
    <w:p w:rsidR="00910223" w:rsidP="1CCCBE73" w:rsidRDefault="00910223" w14:paraId="7916C858" w14:textId="77777777" w14:noSpellErr="1">
      <w:pPr>
        <w:pStyle w:val="ListParagraph"/>
        <w:spacing w:after="0"/>
        <w:ind w:left="1440"/>
        <w:rPr>
          <w:rFonts w:eastAsia="" w:eastAsiaTheme="minorEastAsia"/>
          <w:u w:val="single"/>
        </w:rPr>
      </w:pPr>
    </w:p>
    <w:p w:rsidR="00910223" w:rsidP="0E8D4083" w:rsidRDefault="00910223" w14:paraId="74B1D12D" w14:textId="27392E22">
      <w:pPr>
        <w:pStyle w:val="Normal"/>
        <w:rPr>
          <w:rFonts w:ascii="Arial" w:hAnsi="Arial" w:eastAsia="Arial" w:cs="Arial"/>
          <w:b w:val="1"/>
          <w:bCs w:val="1"/>
          <w:i w:val="1"/>
          <w:iCs w:val="1"/>
          <w:u w:val="single"/>
        </w:rPr>
      </w:pPr>
      <w:r w:rsidRPr="0E8D4083" w:rsidR="00910223">
        <w:rPr>
          <w:rFonts w:ascii="Arial" w:hAnsi="Arial" w:eastAsia="Arial" w:cs="Arial"/>
          <w:b w:val="1"/>
          <w:bCs w:val="1"/>
          <w:i w:val="1"/>
          <w:iCs w:val="1"/>
          <w:u w:val="single"/>
        </w:rPr>
        <w:t>Indigenous Participant</w:t>
      </w:r>
      <w:r w:rsidRPr="0E8D4083" w:rsidR="72BD6911">
        <w:rPr>
          <w:rFonts w:ascii="Arial" w:hAnsi="Arial" w:eastAsia="Arial" w:cs="Arial"/>
          <w:b w:val="1"/>
          <w:bCs w:val="1"/>
          <w:i w:val="1"/>
          <w:iCs w:val="1"/>
          <w:u w:val="single"/>
        </w:rPr>
        <w:t xml:space="preserve"> Insights</w:t>
      </w:r>
    </w:p>
    <w:p w:rsidR="00910223" w:rsidP="0E8D4083" w:rsidRDefault="00910223" w14:paraId="64B2955F" w14:textId="1A0C0110">
      <w:pPr>
        <w:pStyle w:val="ListParagraph"/>
        <w:numPr>
          <w:ilvl w:val="0"/>
          <w:numId w:val="59"/>
        </w:numPr>
        <w:spacing w:before="300" w:beforeAutospacing="off" w:after="0"/>
        <w:rPr>
          <w:rFonts w:eastAsia="" w:eastAsiaTheme="minorEastAsia"/>
        </w:rPr>
      </w:pPr>
      <w:r w:rsidRPr="0E8D4083" w:rsidR="00910223">
        <w:rPr>
          <w:rFonts w:eastAsia="" w:eastAsiaTheme="minorEastAsia"/>
          <w:b w:val="1"/>
          <w:bCs w:val="1"/>
        </w:rPr>
        <w:t>Time</w:t>
      </w:r>
    </w:p>
    <w:p w:rsidR="00910223" w:rsidP="00910223" w:rsidRDefault="00910223" w14:paraId="32193840" w14:textId="77777777">
      <w:pPr>
        <w:pStyle w:val="ListParagraph"/>
        <w:numPr>
          <w:ilvl w:val="1"/>
          <w:numId w:val="59"/>
        </w:numPr>
        <w:spacing w:after="0"/>
        <w:rPr>
          <w:rFonts w:eastAsiaTheme="minorEastAsia"/>
        </w:rPr>
      </w:pPr>
      <w:r w:rsidRPr="5731249C">
        <w:rPr>
          <w:rFonts w:eastAsiaTheme="minorEastAsia"/>
          <w:b/>
          <w:bCs/>
        </w:rPr>
        <w:t>Prioritization Challenges:</w:t>
      </w:r>
      <w:r w:rsidRPr="5731249C">
        <w:rPr>
          <w:rFonts w:eastAsiaTheme="minorEastAsia"/>
        </w:rPr>
        <w:t xml:space="preserve"> Community members face numerous stressors and financial difficulties in daily life, making it challenging to prioritize initiatives that involve giving back to the environment.</w:t>
      </w:r>
    </w:p>
    <w:p w:rsidR="00910223" w:rsidP="00910223" w:rsidRDefault="00910223" w14:paraId="0C8FC7D2" w14:textId="77777777">
      <w:pPr>
        <w:pStyle w:val="ListParagraph"/>
        <w:numPr>
          <w:ilvl w:val="1"/>
          <w:numId w:val="59"/>
        </w:numPr>
        <w:spacing w:after="0"/>
        <w:rPr>
          <w:rFonts w:eastAsiaTheme="minorEastAsia"/>
        </w:rPr>
      </w:pPr>
      <w:r w:rsidRPr="5731249C">
        <w:rPr>
          <w:rFonts w:eastAsiaTheme="minorEastAsia"/>
          <w:b/>
          <w:bCs/>
        </w:rPr>
        <w:t>Limited Time:</w:t>
      </w:r>
      <w:r w:rsidRPr="5731249C">
        <w:rPr>
          <w:rFonts w:eastAsiaTheme="minorEastAsia"/>
        </w:rPr>
        <w:t xml:space="preserve"> Like many underserved communities, time constraints make it difficult to engage in activities not directly linked to immediate personal and family needs.</w:t>
      </w:r>
    </w:p>
    <w:p w:rsidR="00910223" w:rsidP="1CCCBE73" w:rsidRDefault="00910223" w14:paraId="02F16B3B" w14:textId="490B63F3">
      <w:pPr>
        <w:pStyle w:val="ListParagraph"/>
        <w:numPr>
          <w:ilvl w:val="0"/>
          <w:numId w:val="59"/>
        </w:numPr>
        <w:spacing w:before="240" w:after="240"/>
        <w:rPr>
          <w:rFonts w:eastAsia="" w:eastAsiaTheme="minorEastAsia"/>
        </w:rPr>
      </w:pPr>
      <w:r w:rsidRPr="1CCCBE73" w:rsidR="00910223">
        <w:rPr>
          <w:rFonts w:eastAsia="" w:eastAsiaTheme="minorEastAsia"/>
          <w:b w:val="1"/>
          <w:bCs w:val="1"/>
        </w:rPr>
        <w:t>Government Fears</w:t>
      </w:r>
    </w:p>
    <w:p w:rsidR="00910223" w:rsidP="00910223" w:rsidRDefault="00910223" w14:paraId="02AB62CC" w14:textId="77777777">
      <w:pPr>
        <w:pStyle w:val="ListParagraph"/>
        <w:numPr>
          <w:ilvl w:val="1"/>
          <w:numId w:val="59"/>
        </w:numPr>
        <w:spacing w:after="0"/>
        <w:rPr>
          <w:rFonts w:eastAsiaTheme="minorEastAsia"/>
        </w:rPr>
      </w:pPr>
      <w:r w:rsidRPr="5731249C">
        <w:rPr>
          <w:rFonts w:eastAsiaTheme="minorEastAsia"/>
          <w:b/>
          <w:bCs/>
        </w:rPr>
        <w:t>Generational Trauma:</w:t>
      </w:r>
      <w:r w:rsidRPr="5731249C">
        <w:rPr>
          <w:rFonts w:eastAsiaTheme="minorEastAsia"/>
        </w:rPr>
        <w:t xml:space="preserve"> Historical betrayal and generational trauma from past interactions with government officials, particularly the U.S. government, lead to skepticism about official efforts.</w:t>
      </w:r>
    </w:p>
    <w:p w:rsidR="00910223" w:rsidP="00910223" w:rsidRDefault="00910223" w14:paraId="03F9CD9C" w14:textId="77777777">
      <w:pPr>
        <w:pStyle w:val="ListParagraph"/>
        <w:numPr>
          <w:ilvl w:val="1"/>
          <w:numId w:val="59"/>
        </w:numPr>
        <w:spacing w:after="0"/>
        <w:rPr>
          <w:rFonts w:eastAsiaTheme="minorEastAsia"/>
        </w:rPr>
      </w:pPr>
      <w:r w:rsidRPr="5731249C">
        <w:rPr>
          <w:rFonts w:eastAsiaTheme="minorEastAsia"/>
          <w:b/>
          <w:bCs/>
        </w:rPr>
        <w:t>Skepticism:</w:t>
      </w:r>
      <w:r w:rsidRPr="5731249C">
        <w:rPr>
          <w:rFonts w:eastAsiaTheme="minorEastAsia"/>
        </w:rPr>
        <w:t xml:space="preserve"> A long history of being burned by the government fosters a general mistrust of official initiatives.</w:t>
      </w:r>
    </w:p>
    <w:p w:rsidR="00910223" w:rsidP="1CCCBE73" w:rsidRDefault="00910223" w14:paraId="21518534" w14:textId="0F80A04C">
      <w:pPr>
        <w:pStyle w:val="ListParagraph"/>
        <w:numPr>
          <w:ilvl w:val="0"/>
          <w:numId w:val="59"/>
        </w:numPr>
        <w:spacing w:before="240" w:after="240"/>
        <w:rPr>
          <w:rFonts w:eastAsia="" w:eastAsiaTheme="minorEastAsia"/>
        </w:rPr>
      </w:pPr>
      <w:r w:rsidRPr="1CCCBE73" w:rsidR="00910223">
        <w:rPr>
          <w:rFonts w:eastAsia="" w:eastAsiaTheme="minorEastAsia"/>
          <w:b w:val="1"/>
          <w:bCs w:val="1"/>
        </w:rPr>
        <w:t>Lack of Resources</w:t>
      </w:r>
    </w:p>
    <w:p w:rsidR="00910223" w:rsidP="00910223" w:rsidRDefault="00910223" w14:paraId="4F6FDC31" w14:textId="77777777">
      <w:pPr>
        <w:pStyle w:val="ListParagraph"/>
        <w:numPr>
          <w:ilvl w:val="1"/>
          <w:numId w:val="59"/>
        </w:numPr>
        <w:spacing w:after="0"/>
        <w:rPr>
          <w:rFonts w:eastAsiaTheme="minorEastAsia"/>
        </w:rPr>
      </w:pPr>
      <w:r w:rsidRPr="5731249C">
        <w:rPr>
          <w:rFonts w:eastAsiaTheme="minorEastAsia"/>
          <w:b/>
          <w:bCs/>
        </w:rPr>
        <w:t>Economic Concerns:</w:t>
      </w:r>
      <w:r w:rsidRPr="5731249C">
        <w:rPr>
          <w:rFonts w:eastAsiaTheme="minorEastAsia"/>
        </w:rPr>
        <w:t xml:space="preserve"> Plants are viewed as potentially occupying space where financial opportunities could arise, leading to resistance based on economic considerations.</w:t>
      </w:r>
    </w:p>
    <w:p w:rsidR="00910223" w:rsidP="1CCCBE73" w:rsidRDefault="00910223" w14:paraId="115F2EB0" w14:textId="21C8E931">
      <w:pPr>
        <w:pStyle w:val="ListParagraph"/>
        <w:numPr>
          <w:ilvl w:val="0"/>
          <w:numId w:val="59"/>
        </w:numPr>
        <w:spacing w:before="240" w:after="240"/>
        <w:rPr>
          <w:rFonts w:eastAsia="" w:eastAsiaTheme="minorEastAsia"/>
        </w:rPr>
      </w:pPr>
      <w:r w:rsidRPr="1CCCBE73" w:rsidR="00910223">
        <w:rPr>
          <w:rFonts w:eastAsia="" w:eastAsiaTheme="minorEastAsia"/>
          <w:b w:val="1"/>
          <w:bCs w:val="1"/>
        </w:rPr>
        <w:t>Resistance to Engagement</w:t>
      </w:r>
    </w:p>
    <w:p w:rsidR="00910223" w:rsidP="00910223" w:rsidRDefault="00910223" w14:paraId="0B8EE0DF" w14:textId="77777777">
      <w:pPr>
        <w:pStyle w:val="ListParagraph"/>
        <w:numPr>
          <w:ilvl w:val="1"/>
          <w:numId w:val="59"/>
        </w:numPr>
        <w:spacing w:after="0"/>
        <w:rPr>
          <w:rFonts w:eastAsiaTheme="minorEastAsia"/>
        </w:rPr>
      </w:pPr>
      <w:r w:rsidRPr="5731249C">
        <w:rPr>
          <w:rFonts w:eastAsiaTheme="minorEastAsia"/>
          <w:b/>
          <w:bCs/>
        </w:rPr>
        <w:t>Self-Isolation:</w:t>
      </w:r>
      <w:r w:rsidRPr="5731249C">
        <w:rPr>
          <w:rFonts w:eastAsiaTheme="minorEastAsia"/>
        </w:rPr>
        <w:t xml:space="preserve"> Some tribes and segments of communities choose to self-isolate, posing a challenge in reaching and engaging with these groups.</w:t>
      </w:r>
    </w:p>
    <w:p w:rsidR="00910223" w:rsidP="00910223" w:rsidRDefault="00910223" w14:paraId="035570B4" w14:textId="77777777">
      <w:pPr>
        <w:pStyle w:val="ListParagraph"/>
        <w:numPr>
          <w:ilvl w:val="1"/>
          <w:numId w:val="59"/>
        </w:numPr>
        <w:spacing w:after="0"/>
        <w:rPr>
          <w:rFonts w:eastAsiaTheme="minorEastAsia"/>
        </w:rPr>
      </w:pPr>
      <w:r w:rsidRPr="5731249C">
        <w:rPr>
          <w:rFonts w:eastAsiaTheme="minorEastAsia"/>
          <w:b/>
          <w:bCs/>
        </w:rPr>
        <w:t>Vulnerability Concerns:</w:t>
      </w:r>
      <w:r w:rsidRPr="5731249C">
        <w:rPr>
          <w:rFonts w:eastAsiaTheme="minorEastAsia"/>
        </w:rPr>
        <w:t xml:space="preserve"> There are real risks and vulnerabilities for tribal individuals attempting to connect externally and support new initiatives, especially if they face failure.</w:t>
      </w:r>
    </w:p>
    <w:p w:rsidR="00910223" w:rsidP="0E8D4083" w:rsidRDefault="00910223" w14:paraId="713DA9B7" w14:textId="61D0E6AA">
      <w:pPr>
        <w:spacing w:before="300" w:after="0" w:afterAutospacing="off" w:line="240" w:lineRule="auto"/>
        <w:rPr>
          <w:rFonts w:ascii="Arial" w:hAnsi="Arial" w:eastAsia="Arial" w:cs="Arial"/>
          <w:b w:val="1"/>
          <w:bCs w:val="1"/>
          <w:i w:val="1"/>
          <w:iCs w:val="1"/>
          <w:u w:val="single"/>
        </w:rPr>
      </w:pPr>
      <w:r w:rsidRPr="0E8D4083" w:rsidR="00910223">
        <w:rPr>
          <w:rFonts w:ascii="Arial" w:hAnsi="Arial" w:eastAsia="Arial" w:cs="Arial"/>
          <w:b w:val="1"/>
          <w:bCs w:val="1"/>
          <w:i w:val="1"/>
          <w:iCs w:val="1"/>
          <w:u w:val="single"/>
        </w:rPr>
        <w:t>African</w:t>
      </w:r>
      <w:r w:rsidRPr="0E8D4083" w:rsidR="260AAF51">
        <w:rPr>
          <w:rFonts w:ascii="Arial" w:hAnsi="Arial" w:eastAsia="Arial" w:cs="Arial"/>
          <w:b w:val="1"/>
          <w:bCs w:val="1"/>
          <w:i w:val="1"/>
          <w:iCs w:val="1"/>
          <w:u w:val="single"/>
        </w:rPr>
        <w:t xml:space="preserve"> </w:t>
      </w:r>
      <w:r w:rsidRPr="0E8D4083" w:rsidR="00910223">
        <w:rPr>
          <w:rFonts w:ascii="Arial" w:hAnsi="Arial" w:eastAsia="Arial" w:cs="Arial"/>
          <w:b w:val="1"/>
          <w:bCs w:val="1"/>
          <w:i w:val="1"/>
          <w:iCs w:val="1"/>
          <w:u w:val="single"/>
        </w:rPr>
        <w:t>American</w:t>
      </w:r>
      <w:r w:rsidRPr="0E8D4083" w:rsidR="00910223">
        <w:rPr>
          <w:rFonts w:ascii="Arial" w:hAnsi="Arial" w:eastAsia="Arial" w:cs="Arial"/>
          <w:b w:val="1"/>
          <w:bCs w:val="1"/>
          <w:i w:val="1"/>
          <w:iCs w:val="1"/>
          <w:u w:val="single"/>
        </w:rPr>
        <w:t xml:space="preserve"> Participant</w:t>
      </w:r>
      <w:r w:rsidRPr="0E8D4083" w:rsidR="691B7FD1">
        <w:rPr>
          <w:rFonts w:ascii="Arial" w:hAnsi="Arial" w:eastAsia="Arial" w:cs="Arial"/>
          <w:b w:val="1"/>
          <w:bCs w:val="1"/>
          <w:i w:val="1"/>
          <w:iCs w:val="1"/>
          <w:u w:val="single"/>
        </w:rPr>
        <w:t xml:space="preserve"> Insights</w:t>
      </w:r>
    </w:p>
    <w:p w:rsidR="00910223" w:rsidP="1CCCBE73" w:rsidRDefault="00910223" w14:paraId="1FFE0A24" w14:textId="01B231F1">
      <w:pPr>
        <w:pStyle w:val="ListParagraph"/>
        <w:numPr>
          <w:ilvl w:val="0"/>
          <w:numId w:val="61"/>
        </w:numPr>
        <w:spacing w:before="300" w:after="0" w:afterAutospacing="off" w:line="240" w:lineRule="auto"/>
        <w:rPr>
          <w:rFonts w:eastAsia="" w:eastAsiaTheme="minorEastAsia"/>
        </w:rPr>
      </w:pPr>
      <w:r w:rsidRPr="1CCCBE73" w:rsidR="00910223">
        <w:rPr>
          <w:rFonts w:eastAsia="" w:eastAsiaTheme="minorEastAsia"/>
          <w:b w:val="1"/>
          <w:bCs w:val="1"/>
        </w:rPr>
        <w:t>Resources/Maintenance/Upkeep</w:t>
      </w:r>
    </w:p>
    <w:p w:rsidR="00910223" w:rsidP="00910223" w:rsidRDefault="00910223" w14:paraId="6FD7CDBC" w14:textId="77777777">
      <w:pPr>
        <w:pStyle w:val="ListParagraph"/>
        <w:numPr>
          <w:ilvl w:val="1"/>
          <w:numId w:val="60"/>
        </w:numPr>
        <w:spacing w:after="0"/>
        <w:rPr>
          <w:rFonts w:eastAsiaTheme="minorEastAsia"/>
        </w:rPr>
      </w:pPr>
      <w:r w:rsidRPr="1CCCBE73" w:rsidR="00910223">
        <w:rPr>
          <w:rFonts w:eastAsia="" w:eastAsiaTheme="minorEastAsia"/>
          <w:b w:val="1"/>
          <w:bCs w:val="1"/>
        </w:rPr>
        <w:t>Financial Concerns:</w:t>
      </w:r>
      <w:r w:rsidRPr="1CCCBE73" w:rsidR="00910223">
        <w:rPr>
          <w:rFonts w:eastAsia="" w:eastAsiaTheme="minorEastAsia"/>
        </w:rPr>
        <w:t xml:space="preserve"> Community members question the funding source for initiatives, especially when households are prioritizing basic needs.</w:t>
      </w:r>
    </w:p>
    <w:p w:rsidR="00910223" w:rsidP="00910223" w:rsidRDefault="00910223" w14:paraId="44FC8A27" w14:textId="77777777">
      <w:pPr>
        <w:pStyle w:val="ListParagraph"/>
        <w:numPr>
          <w:ilvl w:val="1"/>
          <w:numId w:val="60"/>
        </w:numPr>
        <w:spacing w:after="0"/>
        <w:rPr>
          <w:rFonts w:eastAsiaTheme="minorEastAsia"/>
        </w:rPr>
      </w:pPr>
      <w:r w:rsidRPr="1CCCBE73" w:rsidR="00910223">
        <w:rPr>
          <w:rFonts w:eastAsia="" w:eastAsiaTheme="minorEastAsia"/>
          <w:b w:val="1"/>
          <w:bCs w:val="1"/>
        </w:rPr>
        <w:t>Longevity Concerns:</w:t>
      </w:r>
      <w:r w:rsidRPr="1CCCBE73" w:rsidR="00910223">
        <w:rPr>
          <w:rFonts w:eastAsia="" w:eastAsiaTheme="minorEastAsia"/>
        </w:rPr>
        <w:t xml:space="preserve"> There is skepticism about the sustainability and lasting impact of these initiatives.</w:t>
      </w:r>
    </w:p>
    <w:p w:rsidR="00910223" w:rsidP="1CCCBE73" w:rsidRDefault="00910223" w14:paraId="274CC087" w14:textId="22C73B78">
      <w:pPr>
        <w:pStyle w:val="ListParagraph"/>
        <w:numPr>
          <w:ilvl w:val="0"/>
          <w:numId w:val="60"/>
        </w:numPr>
        <w:spacing w:before="240" w:after="240"/>
        <w:rPr>
          <w:rFonts w:eastAsia="" w:eastAsiaTheme="minorEastAsia"/>
        </w:rPr>
      </w:pPr>
      <w:r w:rsidRPr="1CCCBE73" w:rsidR="00910223">
        <w:rPr>
          <w:rFonts w:eastAsia="" w:eastAsiaTheme="minorEastAsia"/>
          <w:b w:val="1"/>
          <w:bCs w:val="1"/>
        </w:rPr>
        <w:t>Safety &amp; Financial Responsibility</w:t>
      </w:r>
    </w:p>
    <w:p w:rsidRPr="00910223" w:rsidR="00910223" w:rsidP="1CCCBE73" w:rsidRDefault="00910223" w14:paraId="21A6F0E0" w14:textId="11D80623">
      <w:pPr>
        <w:pStyle w:val="ListParagraph"/>
        <w:numPr>
          <w:ilvl w:val="1"/>
          <w:numId w:val="60"/>
        </w:numPr>
        <w:spacing w:after="0"/>
        <w:rPr>
          <w:rFonts w:eastAsia="" w:eastAsiaTheme="minorEastAsia"/>
        </w:rPr>
      </w:pPr>
      <w:r w:rsidRPr="1CCCBE73" w:rsidR="00910223">
        <w:rPr>
          <w:rFonts w:eastAsia="" w:eastAsiaTheme="minorEastAsia"/>
          <w:b w:val="1"/>
          <w:bCs w:val="1"/>
        </w:rPr>
        <w:t>Infrastructure Impact</w:t>
      </w:r>
      <w:r w:rsidRPr="1CCCBE73" w:rsidR="31CBDEFB">
        <w:rPr>
          <w:rFonts w:eastAsia="" w:eastAsiaTheme="minorEastAsia"/>
          <w:b w:val="1"/>
          <w:bCs w:val="1"/>
        </w:rPr>
        <w:t xml:space="preserve"> </w:t>
      </w:r>
      <w:r w:rsidRPr="1CCCBE73" w:rsidR="00910223">
        <w:rPr>
          <w:rFonts w:eastAsia="" w:eastAsiaTheme="minorEastAsia"/>
        </w:rPr>
        <w:t xml:space="preserve">Concerns about potential damage, such as pipes being ruined, if trees are planted too close to homes, with a reluctance to assume </w:t>
      </w:r>
      <w:r w:rsidRPr="1CCCBE73" w:rsidR="00910223">
        <w:rPr>
          <w:rFonts w:eastAsia="" w:eastAsiaTheme="minorEastAsia"/>
        </w:rPr>
        <w:t>financial responsibility</w:t>
      </w:r>
      <w:r w:rsidRPr="1CCCBE73" w:rsidR="00910223">
        <w:rPr>
          <w:rFonts w:eastAsia="" w:eastAsiaTheme="minorEastAsia"/>
        </w:rPr>
        <w:t xml:space="preserve"> for resulting issues.</w:t>
      </w:r>
    </w:p>
    <w:p w:rsidR="00910223" w:rsidP="1CCCBE73" w:rsidRDefault="00910223" w14:paraId="1C737AEC" w14:textId="6C689EFF">
      <w:pPr>
        <w:pStyle w:val="ListParagraph"/>
        <w:numPr>
          <w:ilvl w:val="0"/>
          <w:numId w:val="60"/>
        </w:numPr>
        <w:spacing w:before="240" w:after="240"/>
        <w:rPr>
          <w:rFonts w:eastAsia="" w:eastAsiaTheme="minorEastAsia"/>
        </w:rPr>
      </w:pPr>
      <w:r w:rsidRPr="1CCCBE73" w:rsidR="00910223">
        <w:rPr>
          <w:rFonts w:eastAsia="" w:eastAsiaTheme="minorEastAsia"/>
          <w:b w:val="1"/>
          <w:bCs w:val="1"/>
        </w:rPr>
        <w:t>Time</w:t>
      </w:r>
    </w:p>
    <w:p w:rsidR="00910223" w:rsidP="00910223" w:rsidRDefault="00910223" w14:paraId="153F7665" w14:textId="77777777">
      <w:pPr>
        <w:pStyle w:val="ListParagraph"/>
        <w:numPr>
          <w:ilvl w:val="1"/>
          <w:numId w:val="60"/>
        </w:numPr>
        <w:spacing w:after="0"/>
        <w:rPr>
          <w:rFonts w:eastAsiaTheme="minorEastAsia"/>
        </w:rPr>
      </w:pPr>
      <w:r w:rsidRPr="5731249C">
        <w:rPr>
          <w:rFonts w:eastAsiaTheme="minorEastAsia"/>
          <w:b/>
          <w:bCs/>
        </w:rPr>
        <w:t>Time Constraints:</w:t>
      </w:r>
      <w:r w:rsidRPr="5731249C">
        <w:rPr>
          <w:rFonts w:eastAsiaTheme="minorEastAsia"/>
        </w:rPr>
        <w:t xml:space="preserve"> Many community members lack the time to participate in the planning process for new green spaces or to spend time in them. Compensation for planning time and consideration of proximity to communities are deemed essential for regular use.</w:t>
      </w:r>
    </w:p>
    <w:p w:rsidR="00910223" w:rsidP="1CCCBE73" w:rsidRDefault="00910223" w14:paraId="3EADBF2F" w14:textId="387E6B16">
      <w:pPr>
        <w:pStyle w:val="ListParagraph"/>
        <w:numPr>
          <w:ilvl w:val="0"/>
          <w:numId w:val="60"/>
        </w:numPr>
        <w:spacing w:before="240" w:after="240"/>
        <w:rPr>
          <w:rFonts w:eastAsia="" w:eastAsiaTheme="minorEastAsia"/>
        </w:rPr>
      </w:pPr>
      <w:r w:rsidRPr="1CCCBE73" w:rsidR="00910223">
        <w:rPr>
          <w:rFonts w:eastAsia="" w:eastAsiaTheme="minorEastAsia"/>
          <w:b w:val="1"/>
          <w:bCs w:val="1"/>
        </w:rPr>
        <w:t>Displacement</w:t>
      </w:r>
    </w:p>
    <w:p w:rsidR="00910223" w:rsidP="00910223" w:rsidRDefault="00910223" w14:paraId="2A8C3449" w14:textId="77777777">
      <w:pPr>
        <w:pStyle w:val="ListParagraph"/>
        <w:numPr>
          <w:ilvl w:val="1"/>
          <w:numId w:val="60"/>
        </w:numPr>
        <w:spacing w:after="0"/>
        <w:rPr>
          <w:rFonts w:eastAsiaTheme="minorEastAsia"/>
        </w:rPr>
      </w:pPr>
      <w:r w:rsidRPr="5731249C">
        <w:rPr>
          <w:rFonts w:eastAsiaTheme="minorEastAsia"/>
          <w:b/>
          <w:bCs/>
        </w:rPr>
        <w:t>Gentrification Worries:</w:t>
      </w:r>
      <w:r w:rsidRPr="5731249C">
        <w:rPr>
          <w:rFonts w:eastAsiaTheme="minorEastAsia"/>
        </w:rPr>
        <w:t xml:space="preserve"> Some fear that increased green space development could worsen existing gentrification pressures.</w:t>
      </w:r>
    </w:p>
    <w:p w:rsidR="00910223" w:rsidP="00910223" w:rsidRDefault="00910223" w14:paraId="5FBE8F90" w14:textId="77777777">
      <w:pPr>
        <w:pStyle w:val="ListParagraph"/>
        <w:numPr>
          <w:ilvl w:val="1"/>
          <w:numId w:val="60"/>
        </w:numPr>
        <w:spacing w:after="0"/>
        <w:rPr>
          <w:rFonts w:eastAsiaTheme="minorEastAsia"/>
        </w:rPr>
      </w:pPr>
      <w:r w:rsidRPr="5731249C">
        <w:rPr>
          <w:rFonts w:eastAsiaTheme="minorEastAsia"/>
          <w:b/>
          <w:bCs/>
        </w:rPr>
        <w:t>Uncertainty about New Projects:</w:t>
      </w:r>
      <w:r w:rsidRPr="5731249C">
        <w:rPr>
          <w:rFonts w:eastAsiaTheme="minorEastAsia"/>
        </w:rPr>
        <w:t xml:space="preserve"> Concerns about the nature of "new projects" and their implications for the community, accompanied by a general distrust of government involvement and a desire for inclusion in decision-making processes.</w:t>
      </w:r>
    </w:p>
    <w:p w:rsidR="00910223" w:rsidP="1CCCBE73" w:rsidRDefault="00910223" w14:paraId="2C966640" w14:textId="2F4E111F">
      <w:pPr>
        <w:pStyle w:val="ListParagraph"/>
        <w:numPr>
          <w:ilvl w:val="0"/>
          <w:numId w:val="60"/>
        </w:numPr>
        <w:spacing w:before="240" w:after="240"/>
        <w:rPr>
          <w:rFonts w:eastAsia="" w:eastAsiaTheme="minorEastAsia"/>
        </w:rPr>
      </w:pPr>
      <w:r w:rsidRPr="1CCCBE73" w:rsidR="00910223">
        <w:rPr>
          <w:rFonts w:eastAsia="" w:eastAsiaTheme="minorEastAsia"/>
          <w:b w:val="1"/>
          <w:bCs w:val="1"/>
        </w:rPr>
        <w:t>Skepticism</w:t>
      </w:r>
    </w:p>
    <w:p w:rsidR="00910223" w:rsidP="00910223" w:rsidRDefault="00910223" w14:paraId="20DD5E0C" w14:textId="77777777">
      <w:pPr>
        <w:pStyle w:val="ListParagraph"/>
        <w:numPr>
          <w:ilvl w:val="1"/>
          <w:numId w:val="60"/>
        </w:numPr>
        <w:spacing w:after="0"/>
        <w:rPr>
          <w:rFonts w:eastAsiaTheme="minorEastAsia"/>
        </w:rPr>
      </w:pPr>
      <w:r w:rsidRPr="5731249C">
        <w:rPr>
          <w:rFonts w:eastAsiaTheme="minorEastAsia"/>
          <w:b/>
          <w:bCs/>
        </w:rPr>
        <w:t>Historical Letdowns:</w:t>
      </w:r>
      <w:r w:rsidRPr="5731249C">
        <w:rPr>
          <w:rFonts w:eastAsiaTheme="minorEastAsia"/>
        </w:rPr>
        <w:t xml:space="preserve"> Past experiences of flawed processes and bad faith engagement have left the Black community skeptical about the success and sincerity of new efforts.</w:t>
      </w:r>
    </w:p>
    <w:p w:rsidR="00910223" w:rsidP="1CCCBE73" w:rsidRDefault="00910223" w14:paraId="676DC00F" w14:textId="333D84D8">
      <w:pPr>
        <w:pStyle w:val="ListParagraph"/>
        <w:numPr>
          <w:ilvl w:val="0"/>
          <w:numId w:val="60"/>
        </w:numPr>
        <w:spacing w:before="240" w:after="240"/>
        <w:rPr>
          <w:rFonts w:eastAsia="" w:eastAsiaTheme="minorEastAsia"/>
        </w:rPr>
      </w:pPr>
      <w:r w:rsidRPr="1CCCBE73" w:rsidR="00910223">
        <w:rPr>
          <w:rFonts w:eastAsia="" w:eastAsiaTheme="minorEastAsia"/>
          <w:b w:val="1"/>
          <w:bCs w:val="1"/>
        </w:rPr>
        <w:t>Lack of Information</w:t>
      </w:r>
    </w:p>
    <w:p w:rsidR="00910223" w:rsidP="00910223" w:rsidRDefault="00910223" w14:paraId="786DE726" w14:textId="77777777">
      <w:pPr>
        <w:pStyle w:val="ListParagraph"/>
        <w:numPr>
          <w:ilvl w:val="1"/>
          <w:numId w:val="60"/>
        </w:numPr>
        <w:spacing w:after="0"/>
        <w:rPr>
          <w:rFonts w:eastAsiaTheme="minorEastAsia"/>
        </w:rPr>
      </w:pPr>
      <w:r w:rsidRPr="5731249C">
        <w:rPr>
          <w:rFonts w:eastAsiaTheme="minorEastAsia"/>
          <w:b/>
          <w:bCs/>
        </w:rPr>
        <w:t>Communication Challenges:</w:t>
      </w:r>
      <w:r w:rsidRPr="5731249C">
        <w:rPr>
          <w:rFonts w:eastAsiaTheme="minorEastAsia"/>
        </w:rPr>
        <w:t xml:space="preserve"> Hesitancy arises from information being perceived as either too advanced, filled with jargon, or overly simplified, reflecting concerns about racist assumptions regarding community comprehension levels.</w:t>
      </w:r>
    </w:p>
    <w:p w:rsidR="00910223" w:rsidP="0E8D4083" w:rsidRDefault="00910223" w14:paraId="2B4985A2" w14:textId="0734A5DB">
      <w:pPr>
        <w:spacing w:before="300" w:after="300"/>
        <w:rPr>
          <w:rFonts w:ascii="Arial" w:hAnsi="Arial" w:eastAsia="Arial" w:cs="Arial"/>
          <w:b w:val="1"/>
          <w:bCs w:val="1"/>
          <w:i w:val="1"/>
          <w:iCs w:val="1"/>
          <w:u w:val="single"/>
        </w:rPr>
      </w:pPr>
      <w:r w:rsidRPr="0E8D4083" w:rsidR="00910223">
        <w:rPr>
          <w:rFonts w:ascii="Arial" w:hAnsi="Arial" w:eastAsia="Arial" w:cs="Arial"/>
          <w:b w:val="1"/>
          <w:bCs w:val="1"/>
          <w:i w:val="1"/>
          <w:iCs w:val="1"/>
          <w:u w:val="single"/>
        </w:rPr>
        <w:t>Latine Participant</w:t>
      </w:r>
      <w:r w:rsidRPr="0E8D4083" w:rsidR="7B3E5D77">
        <w:rPr>
          <w:rFonts w:ascii="Arial" w:hAnsi="Arial" w:eastAsia="Arial" w:cs="Arial"/>
          <w:b w:val="1"/>
          <w:bCs w:val="1"/>
          <w:i w:val="1"/>
          <w:iCs w:val="1"/>
          <w:u w:val="single"/>
        </w:rPr>
        <w:t xml:space="preserve"> Insights</w:t>
      </w:r>
    </w:p>
    <w:p w:rsidR="00910223" w:rsidP="00910223" w:rsidRDefault="00910223" w14:paraId="3E984FD3" w14:textId="77777777">
      <w:pPr>
        <w:pStyle w:val="ListParagraph"/>
        <w:numPr>
          <w:ilvl w:val="0"/>
          <w:numId w:val="59"/>
        </w:numPr>
        <w:spacing w:after="0"/>
        <w:rPr>
          <w:rFonts w:eastAsiaTheme="minorEastAsia"/>
        </w:rPr>
      </w:pPr>
      <w:r w:rsidRPr="5731249C">
        <w:rPr>
          <w:rFonts w:eastAsiaTheme="minorEastAsia"/>
          <w:b/>
          <w:bCs/>
        </w:rPr>
        <w:t>Language Barriers:</w:t>
      </w:r>
    </w:p>
    <w:p w:rsidR="00910223" w:rsidP="00910223" w:rsidRDefault="00910223" w14:paraId="743B1F6D" w14:textId="77777777">
      <w:pPr>
        <w:pStyle w:val="ListParagraph"/>
        <w:numPr>
          <w:ilvl w:val="1"/>
          <w:numId w:val="59"/>
        </w:numPr>
        <w:spacing w:after="0"/>
        <w:rPr>
          <w:rFonts w:eastAsiaTheme="minorEastAsia"/>
        </w:rPr>
      </w:pPr>
      <w:r w:rsidRPr="5731249C">
        <w:rPr>
          <w:rFonts w:eastAsiaTheme="minorEastAsia"/>
          <w:b/>
          <w:bCs/>
        </w:rPr>
        <w:t>Communication Challenges:</w:t>
      </w:r>
      <w:r w:rsidRPr="5731249C">
        <w:rPr>
          <w:rFonts w:eastAsiaTheme="minorEastAsia"/>
        </w:rPr>
        <w:t xml:space="preserve"> Difficulty in understanding initiatives and participating due to language barriers.</w:t>
      </w:r>
    </w:p>
    <w:p w:rsidR="00910223" w:rsidP="00910223" w:rsidRDefault="00910223" w14:paraId="1B318745" w14:textId="77777777">
      <w:pPr>
        <w:pStyle w:val="ListParagraph"/>
        <w:numPr>
          <w:ilvl w:val="0"/>
          <w:numId w:val="59"/>
        </w:numPr>
        <w:spacing w:before="240" w:after="240"/>
        <w:rPr>
          <w:rFonts w:eastAsiaTheme="minorEastAsia"/>
        </w:rPr>
      </w:pPr>
      <w:r w:rsidRPr="5731249C">
        <w:rPr>
          <w:rFonts w:eastAsiaTheme="minorEastAsia"/>
          <w:b/>
          <w:bCs/>
        </w:rPr>
        <w:t>Lack of Funding:</w:t>
      </w:r>
    </w:p>
    <w:p w:rsidR="00910223" w:rsidP="00910223" w:rsidRDefault="00910223" w14:paraId="561F207B" w14:textId="77777777">
      <w:pPr>
        <w:pStyle w:val="ListParagraph"/>
        <w:numPr>
          <w:ilvl w:val="1"/>
          <w:numId w:val="59"/>
        </w:numPr>
        <w:spacing w:after="0"/>
        <w:rPr>
          <w:rFonts w:eastAsiaTheme="minorEastAsia"/>
        </w:rPr>
      </w:pPr>
      <w:r w:rsidRPr="5731249C">
        <w:rPr>
          <w:rFonts w:eastAsiaTheme="minorEastAsia"/>
          <w:b/>
          <w:bCs/>
        </w:rPr>
        <w:t>Financial Constraints:</w:t>
      </w:r>
      <w:r w:rsidRPr="5731249C">
        <w:rPr>
          <w:rFonts w:eastAsiaTheme="minorEastAsia"/>
        </w:rPr>
        <w:t xml:space="preserve"> Limited resources and funding pose challenges for implementing and sustaining green space initiatives.</w:t>
      </w:r>
    </w:p>
    <w:p w:rsidR="00910223" w:rsidP="00910223" w:rsidRDefault="00910223" w14:paraId="032DF44A" w14:textId="77777777">
      <w:pPr>
        <w:pStyle w:val="ListParagraph"/>
        <w:numPr>
          <w:ilvl w:val="0"/>
          <w:numId w:val="59"/>
        </w:numPr>
        <w:spacing w:before="240" w:after="240"/>
        <w:rPr>
          <w:rFonts w:eastAsiaTheme="minorEastAsia"/>
        </w:rPr>
      </w:pPr>
      <w:r w:rsidRPr="5731249C">
        <w:rPr>
          <w:rFonts w:eastAsiaTheme="minorEastAsia"/>
          <w:b/>
          <w:bCs/>
        </w:rPr>
        <w:t>Unavailable Safe Green Space Options:</w:t>
      </w:r>
    </w:p>
    <w:p w:rsidR="00910223" w:rsidP="1CCCBE73" w:rsidRDefault="00910223" w14:paraId="15017A0D" w14:textId="77777777" w14:noSpellErr="1">
      <w:pPr>
        <w:pStyle w:val="ListParagraph"/>
        <w:numPr>
          <w:ilvl w:val="1"/>
          <w:numId w:val="59"/>
        </w:numPr>
        <w:spacing w:after="0"/>
        <w:rPr>
          <w:rFonts w:eastAsia="" w:eastAsiaTheme="minorEastAsia"/>
        </w:rPr>
      </w:pPr>
      <w:r w:rsidRPr="0E8D4083" w:rsidR="00910223">
        <w:rPr>
          <w:rFonts w:eastAsia="" w:eastAsiaTheme="minorEastAsia"/>
          <w:b w:val="1"/>
          <w:bCs w:val="1"/>
        </w:rPr>
        <w:t>Safety Concerns:</w:t>
      </w:r>
      <w:r w:rsidRPr="0E8D4083" w:rsidR="00910223">
        <w:rPr>
          <w:rFonts w:eastAsia="" w:eastAsiaTheme="minorEastAsia"/>
        </w:rPr>
        <w:t xml:space="preserve"> Limited availability of safe green spaces, with concerns about crime and potential dangers, </w:t>
      </w:r>
      <w:r w:rsidRPr="0E8D4083" w:rsidR="00910223">
        <w:rPr>
          <w:rFonts w:eastAsia="" w:eastAsiaTheme="minorEastAsia"/>
        </w:rPr>
        <w:t>impacting</w:t>
      </w:r>
      <w:r w:rsidRPr="0E8D4083" w:rsidR="00910223">
        <w:rPr>
          <w:rFonts w:eastAsia="" w:eastAsiaTheme="minorEastAsia"/>
        </w:rPr>
        <w:t xml:space="preserve"> community members' willingness to engage.</w:t>
      </w:r>
    </w:p>
    <w:p w:rsidR="00910223" w:rsidP="00910223" w:rsidRDefault="00910223" w14:paraId="74B3FCEB" w14:textId="77777777">
      <w:pPr>
        <w:pStyle w:val="ListParagraph"/>
        <w:numPr>
          <w:ilvl w:val="0"/>
          <w:numId w:val="59"/>
        </w:numPr>
        <w:spacing w:before="240" w:after="240"/>
        <w:rPr>
          <w:rFonts w:eastAsiaTheme="minorEastAsia"/>
        </w:rPr>
      </w:pPr>
      <w:r w:rsidRPr="5731249C">
        <w:rPr>
          <w:rFonts w:eastAsiaTheme="minorEastAsia"/>
          <w:b/>
          <w:bCs/>
        </w:rPr>
        <w:t>Fear of Government (Undocumented Immigrants):</w:t>
      </w:r>
    </w:p>
    <w:p w:rsidRPr="00910223" w:rsidR="00910223" w:rsidP="1CCCBE73" w:rsidRDefault="00910223" w14:paraId="13E5CB2F" w14:textId="1E852307">
      <w:pPr>
        <w:pStyle w:val="ListParagraph"/>
        <w:numPr>
          <w:ilvl w:val="1"/>
          <w:numId w:val="59"/>
        </w:numPr>
        <w:spacing w:before="240" w:after="0"/>
        <w:rPr>
          <w:rFonts w:eastAsia="" w:eastAsiaTheme="minorEastAsia"/>
        </w:rPr>
      </w:pPr>
      <w:r w:rsidRPr="1CCCBE73" w:rsidR="00910223">
        <w:rPr>
          <w:rFonts w:eastAsia="" w:eastAsiaTheme="minorEastAsia"/>
          <w:b w:val="1"/>
          <w:bCs w:val="1"/>
        </w:rPr>
        <w:t>Legal Concerns:</w:t>
      </w:r>
      <w:r w:rsidRPr="1CCCBE73" w:rsidR="00910223">
        <w:rPr>
          <w:rFonts w:eastAsia="" w:eastAsiaTheme="minorEastAsia"/>
        </w:rPr>
        <w:t xml:space="preserve"> Undocumented immigrants fear legal consequences and repercussions when engaging with government-related initiatives, affecting their willingness to </w:t>
      </w:r>
      <w:r w:rsidRPr="1CCCBE73" w:rsidR="00910223">
        <w:rPr>
          <w:rFonts w:eastAsia="" w:eastAsiaTheme="minorEastAsia"/>
        </w:rPr>
        <w:t>participate</w:t>
      </w:r>
      <w:r w:rsidRPr="1CCCBE73" w:rsidR="00910223">
        <w:rPr>
          <w:rFonts w:eastAsia="" w:eastAsiaTheme="minorEastAsia"/>
        </w:rPr>
        <w:t>.</w:t>
      </w:r>
    </w:p>
    <w:p w:rsidR="00910223" w:rsidP="00910223" w:rsidRDefault="00910223" w14:paraId="29339B54" w14:textId="77C3216A">
      <w:pPr>
        <w:pStyle w:val="ListParagraph"/>
        <w:numPr>
          <w:ilvl w:val="0"/>
          <w:numId w:val="59"/>
        </w:numPr>
        <w:spacing w:before="240" w:after="240"/>
        <w:rPr>
          <w:rFonts w:eastAsiaTheme="minorEastAsia"/>
        </w:rPr>
      </w:pPr>
      <w:r w:rsidRPr="5731249C">
        <w:rPr>
          <w:rFonts w:eastAsiaTheme="minorEastAsia"/>
          <w:b/>
          <w:bCs/>
        </w:rPr>
        <w:t>Access:</w:t>
      </w:r>
    </w:p>
    <w:p w:rsidR="00910223" w:rsidP="00910223" w:rsidRDefault="00910223" w14:paraId="3BDAA5CE" w14:textId="77777777">
      <w:pPr>
        <w:pStyle w:val="ListParagraph"/>
        <w:numPr>
          <w:ilvl w:val="1"/>
          <w:numId w:val="59"/>
        </w:numPr>
        <w:spacing w:after="0"/>
        <w:rPr>
          <w:rFonts w:eastAsiaTheme="minorEastAsia"/>
        </w:rPr>
      </w:pPr>
      <w:r w:rsidRPr="5731249C">
        <w:rPr>
          <w:rFonts w:eastAsiaTheme="minorEastAsia"/>
          <w:b/>
          <w:bCs/>
        </w:rPr>
        <w:t>Feeling Unwelcome:</w:t>
      </w:r>
      <w:r w:rsidRPr="5731249C">
        <w:rPr>
          <w:rFonts w:eastAsiaTheme="minorEastAsia"/>
        </w:rPr>
        <w:t xml:space="preserve"> There is a great fear of being unwelcome in spaces due to various reasons, including a lack of Spanish-language signs, geographic location, and concerns about gentrification.</w:t>
      </w:r>
    </w:p>
    <w:p w:rsidR="00910223" w:rsidP="00910223" w:rsidRDefault="00910223" w14:paraId="4E17A3D4" w14:textId="77777777">
      <w:pPr>
        <w:pStyle w:val="ListParagraph"/>
        <w:numPr>
          <w:ilvl w:val="0"/>
          <w:numId w:val="59"/>
        </w:numPr>
        <w:spacing w:before="240" w:after="240"/>
        <w:rPr>
          <w:rFonts w:eastAsiaTheme="minorEastAsia"/>
        </w:rPr>
      </w:pPr>
      <w:r w:rsidRPr="5731249C">
        <w:rPr>
          <w:rFonts w:eastAsiaTheme="minorEastAsia"/>
          <w:b/>
          <w:bCs/>
        </w:rPr>
        <w:t>Time:</w:t>
      </w:r>
    </w:p>
    <w:p w:rsidR="00910223" w:rsidP="00910223" w:rsidRDefault="00910223" w14:paraId="7BF4ED9B" w14:textId="77777777">
      <w:pPr>
        <w:pStyle w:val="ListParagraph"/>
        <w:numPr>
          <w:ilvl w:val="1"/>
          <w:numId w:val="59"/>
        </w:numPr>
        <w:spacing w:after="0"/>
        <w:rPr>
          <w:rFonts w:eastAsiaTheme="minorEastAsia"/>
        </w:rPr>
      </w:pPr>
      <w:r w:rsidRPr="5731249C">
        <w:rPr>
          <w:rFonts w:eastAsiaTheme="minorEastAsia"/>
          <w:b/>
          <w:bCs/>
        </w:rPr>
        <w:t xml:space="preserve">Time Constraints: </w:t>
      </w:r>
      <w:r w:rsidRPr="5731249C">
        <w:rPr>
          <w:rFonts w:eastAsiaTheme="minorEastAsia"/>
        </w:rPr>
        <w:t>Time limitations can hinder participation in processes, and a lack of motivation may result from past negative experiences.</w:t>
      </w:r>
    </w:p>
    <w:p w:rsidR="29DF0299" w:rsidP="29DF0299" w:rsidRDefault="29DF0299" w14:paraId="1C8BCD74" w14:textId="3B83372A">
      <w:pPr>
        <w:spacing w:after="0"/>
        <w:rPr>
          <w:rFonts w:ascii="Calibri" w:hAnsi="Calibri" w:eastAsia="Calibri" w:cs="Calibri"/>
          <w:color w:val="000000"/>
        </w:rPr>
      </w:pPr>
    </w:p>
    <w:p w:rsidRPr="00AE4668" w:rsidR="00AE4668" w:rsidP="1CCCBE73" w:rsidRDefault="45F128E1" w14:paraId="3F60E7C9" w14:textId="6E0B17FC">
      <w:pPr>
        <w:spacing w:after="0"/>
        <w:rPr>
          <w:rFonts w:ascii="Arial" w:hAnsi="Arial" w:eastAsia="Arial" w:cs="Arial"/>
          <w:b w:val="1"/>
          <w:bCs w:val="1"/>
          <w:color w:val="237D12" w:themeColor="text2" w:themeTint="FF" w:themeShade="FF"/>
          <w:sz w:val="22"/>
          <w:szCs w:val="22"/>
        </w:rPr>
      </w:pPr>
      <w:r w:rsidRPr="0E8D4083" w:rsidR="45F128E1">
        <w:rPr>
          <w:rFonts w:ascii="Arial" w:hAnsi="Arial" w:eastAsia="Arial" w:cs="Arial"/>
          <w:b w:val="1"/>
          <w:bCs w:val="1"/>
          <w:color w:val="227C12"/>
          <w:sz w:val="22"/>
          <w:szCs w:val="22"/>
        </w:rPr>
        <w:t>Selected Resources</w:t>
      </w:r>
    </w:p>
    <w:p w:rsidR="0E8D4083" w:rsidP="0E8D4083" w:rsidRDefault="0E8D4083" w14:paraId="1ECEB77E" w14:textId="0DA05D36">
      <w:pPr>
        <w:pStyle w:val="Normal"/>
        <w:spacing w:after="0"/>
        <w:rPr>
          <w:rFonts w:ascii="Arial" w:hAnsi="Arial" w:eastAsia="Arial" w:cs="Arial"/>
          <w:b w:val="1"/>
          <w:bCs w:val="1"/>
          <w:color w:val="227C12"/>
          <w:sz w:val="22"/>
          <w:szCs w:val="22"/>
        </w:rPr>
      </w:pPr>
    </w:p>
    <w:p w:rsidR="00C85028" w:rsidP="1CCCBE73" w:rsidRDefault="00C85028" w14:paraId="4A2F6DE5" w14:textId="4E8BDE16">
      <w:pPr>
        <w:spacing w:after="0"/>
        <w:rPr>
          <w:rFonts w:eastAsia="" w:eastAsiaTheme="minorEastAsia"/>
          <w:b w:val="0"/>
          <w:bCs w:val="0"/>
          <w:color w:val="434343" w:themeColor="text1"/>
        </w:rPr>
      </w:pPr>
      <w:r w:rsidRPr="1CCCBE73" w:rsidR="00C85028">
        <w:rPr>
          <w:rFonts w:eastAsia="" w:eastAsiaTheme="minorEastAsia"/>
          <w:b w:val="0"/>
          <w:bCs w:val="0"/>
          <w:color w:val="434343" w:themeColor="text1" w:themeTint="FF" w:themeShade="FF"/>
        </w:rPr>
        <w:t>These resources provide examples of organizations incorporating community engaged planning into their work, how-</w:t>
      </w:r>
      <w:r w:rsidRPr="1CCCBE73" w:rsidR="00C85028">
        <w:rPr>
          <w:rFonts w:eastAsia="" w:eastAsiaTheme="minorEastAsia"/>
          <w:b w:val="0"/>
          <w:bCs w:val="0"/>
          <w:color w:val="434343" w:themeColor="text1" w:themeTint="FF" w:themeShade="FF"/>
        </w:rPr>
        <w:t>to's</w:t>
      </w:r>
      <w:r w:rsidRPr="1CCCBE73" w:rsidR="00C85028">
        <w:rPr>
          <w:rFonts w:eastAsia="" w:eastAsiaTheme="minorEastAsia"/>
          <w:b w:val="0"/>
          <w:bCs w:val="0"/>
          <w:color w:val="434343" w:themeColor="text1" w:themeTint="FF" w:themeShade="FF"/>
        </w:rPr>
        <w:t xml:space="preserve"> focused on assessing community needs through thoughtful engagement and recognition of hesitancies, and a case study that can </w:t>
      </w:r>
      <w:r w:rsidRPr="1CCCBE73" w:rsidR="00C85028">
        <w:rPr>
          <w:rFonts w:eastAsia="" w:eastAsiaTheme="minorEastAsia"/>
          <w:b w:val="0"/>
          <w:bCs w:val="0"/>
          <w:color w:val="434343" w:themeColor="text1" w:themeTint="FF" w:themeShade="FF"/>
        </w:rPr>
        <w:t>provide</w:t>
      </w:r>
      <w:r w:rsidRPr="1CCCBE73" w:rsidR="00C85028">
        <w:rPr>
          <w:rFonts w:eastAsia="" w:eastAsiaTheme="minorEastAsia"/>
          <w:b w:val="0"/>
          <w:bCs w:val="0"/>
          <w:color w:val="434343" w:themeColor="text1" w:themeTint="FF" w:themeShade="FF"/>
        </w:rPr>
        <w:t xml:space="preserve"> an example of successfully overcoming these hesitancies. </w:t>
      </w:r>
    </w:p>
    <w:p w:rsidR="00C85028" w:rsidP="1CCCBE73" w:rsidRDefault="00C85028" w14:paraId="679B4C66" w14:textId="77777777" w14:noSpellErr="1">
      <w:pPr>
        <w:spacing w:after="0"/>
        <w:rPr>
          <w:rFonts w:eastAsia="" w:eastAsiaTheme="minorEastAsia"/>
          <w:b w:val="0"/>
          <w:bCs w:val="0"/>
          <w:color w:val="434343" w:themeColor="text1"/>
        </w:rPr>
      </w:pPr>
    </w:p>
    <w:p w:rsidR="00C85028" w:rsidP="1CCCBE73" w:rsidRDefault="00C85028" w14:paraId="1897C468" w14:textId="15162206">
      <w:pPr>
        <w:rPr>
          <w:rFonts w:eastAsia="" w:eastAsiaTheme="minorEastAsia"/>
          <w:b w:val="0"/>
          <w:bCs w:val="0"/>
          <w:color w:val="434343" w:themeColor="text1"/>
        </w:rPr>
      </w:pPr>
      <w:r w:rsidRPr="0E8D4083" w:rsidR="00C85028">
        <w:rPr>
          <w:rFonts w:eastAsia="" w:eastAsiaTheme="minorEastAsia"/>
          <w:b w:val="1"/>
          <w:bCs w:val="1"/>
          <w:color w:val="434343" w:themeColor="text1" w:themeTint="FF" w:themeShade="FF"/>
        </w:rPr>
        <w:t>EXAMPLE</w:t>
      </w:r>
      <w:r w:rsidRPr="0E8D4083" w:rsidR="77E84E49">
        <w:rPr>
          <w:rFonts w:eastAsia="" w:eastAsiaTheme="minorEastAsia"/>
          <w:b w:val="1"/>
          <w:bCs w:val="1"/>
          <w:color w:val="434343" w:themeColor="text1" w:themeTint="FF" w:themeShade="FF"/>
        </w:rPr>
        <w:t xml:space="preserve"> -</w:t>
      </w:r>
      <w:r w:rsidRPr="0E8D4083" w:rsidR="00C85028">
        <w:rPr>
          <w:rFonts w:eastAsia="" w:eastAsiaTheme="minorEastAsia"/>
          <w:b w:val="1"/>
          <w:bCs w:val="1"/>
          <w:color w:val="434343" w:themeColor="text1" w:themeTint="FF" w:themeShade="FF"/>
        </w:rPr>
        <w:t xml:space="preserve"> </w:t>
      </w:r>
      <w:hyperlink r:id="R73bf583531f94273">
        <w:r w:rsidRPr="0E8D4083" w:rsidR="00C85028">
          <w:rPr>
            <w:rStyle w:val="Hyperlink"/>
            <w:rFonts w:eastAsia="" w:eastAsiaTheme="minorEastAsia"/>
            <w:b w:val="1"/>
            <w:bCs w:val="1"/>
          </w:rPr>
          <w:t>Arbor Day Foundation’s “A Tree Can Be an Equalizer”</w:t>
        </w:r>
      </w:hyperlink>
      <w:r w:rsidRPr="0E8D4083" w:rsidR="00C85028">
        <w:rPr>
          <w:rFonts w:eastAsia="" w:eastAsiaTheme="minorEastAsia"/>
          <w:b w:val="1"/>
          <w:bCs w:val="1"/>
          <w:color w:val="434343" w:themeColor="text1" w:themeTint="FF" w:themeShade="FF"/>
        </w:rPr>
        <w:t>:</w:t>
      </w:r>
      <w:r w:rsidRPr="0E8D4083" w:rsidR="00322F79">
        <w:rPr>
          <w:rFonts w:eastAsia="" w:eastAsiaTheme="minorEastAsia"/>
          <w:b w:val="0"/>
          <w:bCs w:val="0"/>
          <w:color w:val="434343" w:themeColor="text1" w:themeTint="FF" w:themeShade="FF"/>
        </w:rPr>
        <w:t xml:space="preserve"> </w:t>
      </w:r>
      <w:r w:rsidRPr="0E8D4083" w:rsidR="00C85028">
        <w:rPr>
          <w:rFonts w:eastAsia="" w:eastAsiaTheme="minorEastAsia"/>
          <w:b w:val="0"/>
          <w:bCs w:val="0"/>
          <w:color w:val="434343" w:themeColor="text1" w:themeTint="FF" w:themeShade="FF"/>
        </w:rPr>
        <w:t xml:space="preserve">The Arbor Day Foundation works to support tree planting across the county to address climate change. In this guide, they consider a community’s needs, </w:t>
      </w:r>
      <w:r w:rsidRPr="0E8D4083" w:rsidR="00C85028">
        <w:rPr>
          <w:rFonts w:eastAsia="" w:eastAsiaTheme="minorEastAsia"/>
          <w:b w:val="0"/>
          <w:bCs w:val="0"/>
          <w:color w:val="434343" w:themeColor="text1" w:themeTint="FF" w:themeShade="FF"/>
        </w:rPr>
        <w:t>expertise</w:t>
      </w:r>
      <w:r w:rsidRPr="0E8D4083" w:rsidR="00C85028">
        <w:rPr>
          <w:rFonts w:eastAsia="" w:eastAsiaTheme="minorEastAsia"/>
          <w:b w:val="0"/>
          <w:bCs w:val="0"/>
          <w:color w:val="434343" w:themeColor="text1" w:themeTint="FF" w:themeShade="FF"/>
        </w:rPr>
        <w:t xml:space="preserve">, and desires as a part of a more holistic urban forestry strategy. </w:t>
      </w:r>
    </w:p>
    <w:p w:rsidR="00C85028" w:rsidP="1CCCBE73" w:rsidRDefault="00C85028" w14:paraId="115697EF" w14:textId="47E1A32D">
      <w:pPr>
        <w:rPr>
          <w:rFonts w:eastAsia="" w:eastAsiaTheme="minorEastAsia"/>
          <w:b w:val="0"/>
          <w:bCs w:val="0"/>
          <w:color w:val="434343" w:themeColor="text1"/>
        </w:rPr>
      </w:pPr>
      <w:r w:rsidRPr="0E8D4083" w:rsidR="00C85028">
        <w:rPr>
          <w:rFonts w:eastAsia="" w:eastAsiaTheme="minorEastAsia"/>
          <w:b w:val="1"/>
          <w:bCs w:val="1"/>
          <w:color w:val="434343" w:themeColor="text1" w:themeTint="FF" w:themeShade="FF"/>
        </w:rPr>
        <w:t xml:space="preserve">HOW-TO </w:t>
      </w:r>
      <w:r w:rsidRPr="0E8D4083" w:rsidR="7A011AE6">
        <w:rPr>
          <w:rFonts w:eastAsia="" w:eastAsiaTheme="minorEastAsia"/>
          <w:b w:val="1"/>
          <w:bCs w:val="1"/>
          <w:color w:val="434343" w:themeColor="text1" w:themeTint="FF" w:themeShade="FF"/>
        </w:rPr>
        <w:t xml:space="preserve">- </w:t>
      </w:r>
      <w:hyperlink r:id="Rab3e03668b174521">
        <w:r w:rsidRPr="0E8D4083" w:rsidR="00C85028">
          <w:rPr>
            <w:rStyle w:val="Hyperlink"/>
            <w:rFonts w:eastAsia="" w:eastAsiaTheme="minorEastAsia"/>
            <w:b w:val="1"/>
            <w:bCs w:val="1"/>
          </w:rPr>
          <w:t>University of Kansas’ Community Tool Box</w:t>
        </w:r>
      </w:hyperlink>
      <w:r w:rsidRPr="0E8D4083" w:rsidR="00C85028">
        <w:rPr>
          <w:rFonts w:eastAsia="" w:eastAsiaTheme="minorEastAsia"/>
          <w:b w:val="1"/>
          <w:bCs w:val="1"/>
          <w:color w:val="434343" w:themeColor="text1" w:themeTint="FF" w:themeShade="FF"/>
        </w:rPr>
        <w:t xml:space="preserve">: </w:t>
      </w:r>
      <w:r w:rsidRPr="0E8D4083" w:rsidR="00C85028">
        <w:rPr>
          <w:rFonts w:eastAsia="" w:eastAsiaTheme="minorEastAsia"/>
          <w:b w:val="0"/>
          <w:bCs w:val="0"/>
          <w:color w:val="434343" w:themeColor="text1" w:themeTint="FF" w:themeShade="FF"/>
        </w:rPr>
        <w:t xml:space="preserve">As a part of a broad set of community building resources, this tool kit </w:t>
      </w:r>
      <w:r w:rsidRPr="0E8D4083" w:rsidR="00C85028">
        <w:rPr>
          <w:rFonts w:eastAsia="" w:eastAsiaTheme="minorEastAsia"/>
          <w:b w:val="0"/>
          <w:bCs w:val="0"/>
          <w:color w:val="434343" w:themeColor="text1" w:themeTint="FF" w:themeShade="FF"/>
        </w:rPr>
        <w:t>focus</w:t>
      </w:r>
      <w:r w:rsidRPr="0E8D4083" w:rsidR="00C85028">
        <w:rPr>
          <w:rFonts w:eastAsia="" w:eastAsiaTheme="minorEastAsia"/>
          <w:b w:val="0"/>
          <w:bCs w:val="0"/>
          <w:color w:val="434343" w:themeColor="text1" w:themeTint="FF" w:themeShade="FF"/>
        </w:rPr>
        <w:t xml:space="preserve"> on conducting a concern survey – which can help inform a community organization or locality about the major concerns a set of individuals could have </w:t>
      </w:r>
      <w:r w:rsidRPr="0E8D4083" w:rsidR="00C85028">
        <w:rPr>
          <w:rFonts w:eastAsia="" w:eastAsiaTheme="minorEastAsia"/>
          <w:b w:val="0"/>
          <w:bCs w:val="0"/>
          <w:color w:val="434343" w:themeColor="text1" w:themeTint="FF" w:themeShade="FF"/>
        </w:rPr>
        <w:t>regarding</w:t>
      </w:r>
      <w:r w:rsidRPr="0E8D4083" w:rsidR="00C85028">
        <w:rPr>
          <w:rFonts w:eastAsia="" w:eastAsiaTheme="minorEastAsia"/>
          <w:b w:val="0"/>
          <w:bCs w:val="0"/>
          <w:color w:val="434343" w:themeColor="text1" w:themeTint="FF" w:themeShade="FF"/>
        </w:rPr>
        <w:t xml:space="preserve"> an urban forestry initiative.</w:t>
      </w:r>
    </w:p>
    <w:p w:rsidR="00C85028" w:rsidP="1CCCBE73" w:rsidRDefault="00C85028" w14:paraId="420F709C" w14:textId="1ABDAEA9">
      <w:pPr>
        <w:rPr>
          <w:rFonts w:eastAsia="" w:eastAsiaTheme="minorEastAsia"/>
          <w:b w:val="0"/>
          <w:bCs w:val="0"/>
          <w:color w:val="434343" w:themeColor="text1"/>
        </w:rPr>
      </w:pPr>
      <w:r w:rsidRPr="0E8D4083" w:rsidR="00C85028">
        <w:rPr>
          <w:rFonts w:eastAsia="" w:eastAsiaTheme="minorEastAsia"/>
          <w:b w:val="1"/>
          <w:bCs w:val="1"/>
          <w:color w:val="434343" w:themeColor="text1" w:themeTint="FF" w:themeShade="FF"/>
        </w:rPr>
        <w:t>CASE STUDY</w:t>
      </w:r>
      <w:r w:rsidRPr="0E8D4083" w:rsidR="42FE7B57">
        <w:rPr>
          <w:rFonts w:eastAsia="" w:eastAsiaTheme="minorEastAsia"/>
          <w:b w:val="1"/>
          <w:bCs w:val="1"/>
          <w:color w:val="434343" w:themeColor="text1" w:themeTint="FF" w:themeShade="FF"/>
        </w:rPr>
        <w:t xml:space="preserve"> -</w:t>
      </w:r>
      <w:r w:rsidRPr="0E8D4083" w:rsidR="00C85028">
        <w:rPr>
          <w:rFonts w:eastAsia="" w:eastAsiaTheme="minorEastAsia"/>
          <w:b w:val="1"/>
          <w:bCs w:val="1"/>
          <w:color w:val="434343" w:themeColor="text1" w:themeTint="FF" w:themeShade="FF"/>
        </w:rPr>
        <w:t xml:space="preserve"> </w:t>
      </w:r>
      <w:hyperlink r:id="R4e82c6ce1d794dae">
        <w:r w:rsidRPr="0E8D4083" w:rsidR="00C85028">
          <w:rPr>
            <w:rStyle w:val="Hyperlink"/>
            <w:rFonts w:eastAsia="" w:eastAsiaTheme="minorEastAsia"/>
            <w:b w:val="1"/>
            <w:bCs w:val="1"/>
          </w:rPr>
          <w:t>Tree Planting in Detroit</w:t>
        </w:r>
      </w:hyperlink>
      <w:r w:rsidRPr="0E8D4083" w:rsidR="00C85028">
        <w:rPr>
          <w:rFonts w:eastAsia="" w:eastAsiaTheme="minorEastAsia"/>
          <w:b w:val="1"/>
          <w:bCs w:val="1"/>
          <w:color w:val="434343" w:themeColor="text1" w:themeTint="FF" w:themeShade="FF"/>
        </w:rPr>
        <w:t xml:space="preserve">: </w:t>
      </w:r>
      <w:r w:rsidRPr="0E8D4083" w:rsidR="00C85028">
        <w:rPr>
          <w:rFonts w:eastAsia="" w:eastAsiaTheme="minorEastAsia"/>
          <w:b w:val="0"/>
          <w:bCs w:val="0"/>
          <w:color w:val="434343" w:themeColor="text1" w:themeTint="FF" w:themeShade="FF"/>
        </w:rPr>
        <w:t xml:space="preserve">This case study provides important lessons for community organizations – an organization in Detroit faced pushback from residents who opposed tree planting in their neighborhood. The organization had not engaged with the community properly to fully gauge hesitancies surrounding tree management, lack of decision-making </w:t>
      </w:r>
      <w:r w:rsidRPr="0E8D4083" w:rsidR="00C85028">
        <w:rPr>
          <w:rFonts w:eastAsia="" w:eastAsiaTheme="minorEastAsia"/>
          <w:b w:val="0"/>
          <w:bCs w:val="0"/>
          <w:color w:val="434343" w:themeColor="text1" w:themeTint="FF" w:themeShade="FF"/>
        </w:rPr>
        <w:t>regarding</w:t>
      </w:r>
      <w:r w:rsidRPr="0E8D4083" w:rsidR="00C85028">
        <w:rPr>
          <w:rFonts w:eastAsia="" w:eastAsiaTheme="minorEastAsia"/>
          <w:b w:val="0"/>
          <w:bCs w:val="0"/>
          <w:color w:val="434343" w:themeColor="text1" w:themeTint="FF" w:themeShade="FF"/>
        </w:rPr>
        <w:t xml:space="preserve"> the type of tree, and lack of recognition of time needed to </w:t>
      </w:r>
      <w:r w:rsidRPr="0E8D4083" w:rsidR="00C85028">
        <w:rPr>
          <w:rFonts w:eastAsia="" w:eastAsiaTheme="minorEastAsia"/>
          <w:b w:val="0"/>
          <w:bCs w:val="0"/>
          <w:color w:val="434343" w:themeColor="text1" w:themeTint="FF" w:themeShade="FF"/>
        </w:rPr>
        <w:t>maintain</w:t>
      </w:r>
      <w:r w:rsidRPr="0E8D4083" w:rsidR="00C85028">
        <w:rPr>
          <w:rFonts w:eastAsia="" w:eastAsiaTheme="minorEastAsia"/>
          <w:b w:val="0"/>
          <w:bCs w:val="0"/>
          <w:color w:val="434343" w:themeColor="text1" w:themeTint="FF" w:themeShade="FF"/>
        </w:rPr>
        <w:t xml:space="preserve"> a new tree canopy. </w:t>
      </w:r>
    </w:p>
    <w:p w:rsidR="006C5A53" w:rsidP="0042407C" w:rsidRDefault="006C5A53" w14:paraId="578F8C98" w14:textId="77777777">
      <w:pPr>
        <w:pStyle w:val="paragraph"/>
        <w:spacing w:before="0" w:beforeAutospacing="0" w:after="0" w:afterAutospacing="0"/>
        <w:textAlignment w:val="baseline"/>
        <w:rPr>
          <w:rStyle w:val="normaltextrun"/>
          <w:rFonts w:ascii="Calibri" w:hAnsi="Calibri" w:cs="Calibri"/>
          <w:b/>
          <w:bCs/>
          <w:color w:val="000000"/>
          <w:sz w:val="22"/>
          <w:szCs w:val="22"/>
        </w:rPr>
      </w:pPr>
    </w:p>
    <w:p w:rsidR="0042407C" w:rsidP="1CCCBE73" w:rsidRDefault="0042407C" w14:paraId="49B31C38" w14:textId="273BC8A5">
      <w:pPr>
        <w:pStyle w:val="paragraph"/>
        <w:spacing w:before="0" w:beforeAutospacing="off" w:after="0" w:afterAutospacing="off"/>
        <w:textAlignment w:val="baseline"/>
        <w:rPr>
          <w:rStyle w:val="eop"/>
          <w:rFonts w:ascii="Arial" w:hAnsi="Arial" w:eastAsia="Arial" w:cs="Arial"/>
          <w:color w:val="237D12" w:themeColor="text2"/>
          <w:sz w:val="22"/>
          <w:szCs w:val="22"/>
        </w:rPr>
      </w:pPr>
      <w:r w:rsidRPr="1CCCBE73" w:rsidR="0042407C">
        <w:rPr>
          <w:rStyle w:val="normaltextrun"/>
          <w:rFonts w:ascii="Arial" w:hAnsi="Arial" w:eastAsia="Arial" w:cs="Arial"/>
          <w:b w:val="1"/>
          <w:bCs w:val="1"/>
          <w:color w:val="237D12" w:themeColor="text2" w:themeTint="FF" w:themeShade="FF"/>
          <w:sz w:val="22"/>
          <w:szCs w:val="22"/>
        </w:rPr>
        <w:t>References </w:t>
      </w:r>
      <w:r w:rsidRPr="1CCCBE73" w:rsidR="0042407C">
        <w:rPr>
          <w:rStyle w:val="eop"/>
          <w:rFonts w:ascii="Arial" w:hAnsi="Arial" w:eastAsia="Arial" w:cs="Arial"/>
          <w:color w:val="237D12" w:themeColor="text2" w:themeTint="FF" w:themeShade="FF"/>
          <w:sz w:val="22"/>
          <w:szCs w:val="22"/>
        </w:rPr>
        <w:t> </w:t>
      </w:r>
    </w:p>
    <w:p w:rsidRPr="006C5A53" w:rsidR="00B05960" w:rsidP="1CCCBE73" w:rsidRDefault="00B05960" w14:paraId="70993022" w14:textId="77777777" w14:noSpellErr="1">
      <w:pPr>
        <w:pStyle w:val="paragraph"/>
        <w:spacing w:before="0" w:beforeAutospacing="off" w:after="0" w:afterAutospacing="off"/>
        <w:textAlignment w:val="baseline"/>
        <w:rPr>
          <w:rFonts w:ascii="Calibri" w:hAnsi="Calibri" w:eastAsia="Calibri" w:cs="Calibri" w:asciiTheme="minorAscii" w:hAnsiTheme="minorAscii" w:eastAsiaTheme="minorAscii" w:cstheme="minorAscii"/>
          <w:color w:val="237D12" w:themeColor="text2"/>
          <w:sz w:val="22"/>
          <w:szCs w:val="22"/>
        </w:rPr>
      </w:pPr>
    </w:p>
    <w:p w:rsidR="00322F79" w:rsidP="1CCCBE73" w:rsidRDefault="00322F79" w14:paraId="073E6297" w14:textId="649E81A2">
      <w:pPr>
        <w:bidi w:val="0"/>
        <w:spacing w:line="240" w:lineRule="auto"/>
        <w:ind w:left="0" w:right="-20" w:firstLine="0"/>
        <w:jc w:val="left"/>
        <w:rPr>
          <w:rFonts w:ascii="Calibri" w:hAnsi="Calibri" w:eastAsia="Calibri" w:cs="Calibri" w:asciiTheme="minorAscii" w:hAnsiTheme="minorAscii" w:eastAsiaTheme="minorAscii" w:cstheme="minorAscii"/>
          <w:sz w:val="22"/>
          <w:szCs w:val="22"/>
          <w:lang w:val="fr-FR"/>
        </w:rPr>
      </w:pP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A tree can be an equalizer | Stories at Arborday.org</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lang w:val="fr-FR"/>
        </w:rPr>
        <w:t>(</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lang w:val="fr-FR"/>
        </w:rPr>
        <w:t>n.d</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lang w:val="fr-FR"/>
        </w:rPr>
        <w:t>.).</w:t>
      </w:r>
      <w:hyperlink r:id="R96c2caaf4fe249fd">
        <w:r w:rsidRPr="1CCCBE73" w:rsidR="00322F79">
          <w:rPr>
            <w:rStyle w:val="Hyperlink"/>
            <w:rFonts w:ascii="Calibri" w:hAnsi="Calibri" w:eastAsia="Calibri" w:cs="Calibri" w:asciiTheme="minorAscii" w:hAnsiTheme="minorAscii" w:eastAsiaTheme="minorAscii" w:cstheme="minorAscii"/>
            <w:sz w:val="22"/>
            <w:szCs w:val="22"/>
            <w:lang w:val="fr-FR"/>
          </w:rPr>
          <w:t>https://www.arborday.org/stories/atrecanbe-an-equalizer.cfm</w:t>
        </w:r>
      </w:hyperlink>
    </w:p>
    <w:p w:rsidR="00322F79" w:rsidP="1CCCBE73" w:rsidRDefault="00322F79" w14:paraId="5B1F40E2" w14:textId="41CF8947">
      <w:pPr>
        <w:bidi w:val="0"/>
        <w:spacing w:line="240" w:lineRule="auto"/>
        <w:ind w:left="0" w:right="-20" w:firstLine="0"/>
        <w:jc w:val="left"/>
        <w:rPr>
          <w:rFonts w:ascii="Calibri" w:hAnsi="Calibri" w:eastAsia="Calibri" w:cs="Calibri" w:asciiTheme="minorAscii" w:hAnsiTheme="minorAscii" w:eastAsiaTheme="minorAscii" w:cstheme="minorAscii"/>
          <w:i w:val="1"/>
          <w:iCs w:val="1"/>
          <w:color w:val="434343" w:themeColor="text1" w:themeTint="FF" w:themeShade="FF"/>
          <w:sz w:val="22"/>
          <w:szCs w:val="22"/>
        </w:rPr>
      </w:pP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Chapter 3. Assessing Community needs and resources | Section 10. Conducting concerns Surveys | Mai</w:t>
      </w:r>
      <w:r w:rsidRPr="1CCCBE73" w:rsidR="28BD4C14">
        <w:rPr>
          <w:rFonts w:ascii="Calibri" w:hAnsi="Calibri" w:eastAsia="Calibri" w:cs="Calibri" w:asciiTheme="minorAscii" w:hAnsiTheme="minorAscii" w:eastAsiaTheme="minorAscii" w:cstheme="minorAscii"/>
          <w:i w:val="1"/>
          <w:iCs w:val="1"/>
          <w:color w:val="434343" w:themeColor="text1" w:themeTint="FF" w:themeShade="FF"/>
          <w:sz w:val="22"/>
          <w:szCs w:val="22"/>
        </w:rPr>
        <w:t>n</w:t>
      </w:r>
    </w:p>
    <w:p w:rsidR="00322F79" w:rsidP="1CCCBE73" w:rsidRDefault="00322F79" w14:paraId="7F58E722" w14:textId="44624E92">
      <w:pPr>
        <w:bidi w:val="0"/>
        <w:spacing w:line="240" w:lineRule="auto"/>
        <w:ind w:left="0" w:right="-20" w:firstLine="0"/>
        <w:jc w:val="left"/>
        <w:rPr>
          <w:rFonts w:ascii="Calibri" w:hAnsi="Calibri" w:eastAsia="Calibri" w:cs="Calibri" w:asciiTheme="minorAscii" w:hAnsiTheme="minorAscii" w:eastAsiaTheme="minorAscii" w:cstheme="minorAscii"/>
          <w:sz w:val="22"/>
          <w:szCs w:val="22"/>
        </w:rPr>
      </w:pP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 xml:space="preserve">section | Community </w:t>
      </w: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Tool Box</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 xml:space="preserve">. (n.d.). </w:t>
      </w:r>
      <w:hyperlink r:id="Rd8745dd4de2044e0">
        <w:r w:rsidRPr="1CCCBE73" w:rsidR="00322F79">
          <w:rPr>
            <w:rStyle w:val="Hyperlink"/>
            <w:rFonts w:ascii="Calibri" w:hAnsi="Calibri" w:eastAsia="Calibri" w:cs="Calibri" w:asciiTheme="minorAscii" w:hAnsiTheme="minorAscii" w:eastAsiaTheme="minorAscii" w:cstheme="minorAscii"/>
            <w:sz w:val="22"/>
            <w:szCs w:val="22"/>
          </w:rPr>
          <w:t>https://ctb.ku.edu/en/table-ofcontents/assessment/assessingcommunity-needs-and-resources/conduct-concerns-surveys/main</w:t>
        </w:r>
      </w:hyperlink>
    </w:p>
    <w:p w:rsidR="00322F79" w:rsidP="1CCCBE73" w:rsidRDefault="00322F79" w14:paraId="2170D40B" w14:textId="0FE4B2D4">
      <w:pPr>
        <w:bidi w:val="0"/>
        <w:spacing w:line="240" w:lineRule="auto"/>
        <w:ind w:left="0" w:right="-20" w:firstLine="0"/>
        <w:jc w:val="left"/>
        <w:rPr>
          <w:rFonts w:ascii="Calibri" w:hAnsi="Calibri" w:eastAsia="Calibri" w:cs="Calibri" w:asciiTheme="minorAscii" w:hAnsiTheme="minorAscii" w:eastAsiaTheme="minorAscii" w:cstheme="minorAscii"/>
          <w:color w:val="434343" w:themeColor="text1" w:themeTint="FF" w:themeShade="FF"/>
          <w:sz w:val="22"/>
          <w:szCs w:val="22"/>
        </w:rPr>
      </w:pP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Carmichael, C., &amp; McDonough, M. H. (2019b). Community Stories: Explaining resistance to street Tree</w:t>
      </w:r>
    </w:p>
    <w:p w:rsidR="00322F79" w:rsidP="1CCCBE73" w:rsidRDefault="00322F79" w14:paraId="10A810F8" w14:textId="4490CF61">
      <w:pPr>
        <w:bidi w:val="0"/>
        <w:spacing w:line="240" w:lineRule="auto"/>
        <w:ind w:left="0" w:right="-20" w:hanging="0" w:firstLine="0"/>
        <w:jc w:val="left"/>
        <w:rPr>
          <w:rFonts w:ascii="Calibri" w:hAnsi="Calibri" w:eastAsia="Calibri" w:cs="Calibri" w:asciiTheme="minorAscii" w:hAnsiTheme="minorAscii" w:eastAsiaTheme="minorAscii" w:cstheme="minorAscii"/>
          <w:sz w:val="22"/>
          <w:szCs w:val="22"/>
        </w:rPr>
      </w:pP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 xml:space="preserve">Planting programs in Detroit, Michigan, USA. </w:t>
      </w: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Society &amp; Natural Resources</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 xml:space="preserve">, </w:t>
      </w:r>
      <w:r w:rsidRPr="1CCCBE73" w:rsidR="00322F79">
        <w:rPr>
          <w:rFonts w:ascii="Calibri" w:hAnsi="Calibri" w:eastAsia="Calibri" w:cs="Calibri" w:asciiTheme="minorAscii" w:hAnsiTheme="minorAscii" w:eastAsiaTheme="minorAscii" w:cstheme="minorAscii"/>
          <w:i w:val="1"/>
          <w:iCs w:val="1"/>
          <w:color w:val="434343" w:themeColor="text1" w:themeTint="FF" w:themeShade="FF"/>
          <w:sz w:val="22"/>
          <w:szCs w:val="22"/>
        </w:rPr>
        <w:t>32</w:t>
      </w:r>
      <w:r w:rsidRPr="1CCCBE73" w:rsidR="00322F79">
        <w:rPr>
          <w:rFonts w:ascii="Calibri" w:hAnsi="Calibri" w:eastAsia="Calibri" w:cs="Calibri" w:asciiTheme="minorAscii" w:hAnsiTheme="minorAscii" w:eastAsiaTheme="minorAscii" w:cstheme="minorAscii"/>
          <w:color w:val="434343" w:themeColor="text1" w:themeTint="FF" w:themeShade="FF"/>
          <w:sz w:val="22"/>
          <w:szCs w:val="22"/>
        </w:rPr>
        <w:t xml:space="preserve">(5), 588–605. </w:t>
      </w:r>
      <w:hyperlink r:id="R8f06345f484648f0">
        <w:r w:rsidRPr="1CCCBE73" w:rsidR="00322F79">
          <w:rPr>
            <w:rStyle w:val="Hyperlink"/>
            <w:rFonts w:ascii="Calibri" w:hAnsi="Calibri" w:eastAsia="Calibri" w:cs="Calibri" w:asciiTheme="minorAscii" w:hAnsiTheme="minorAscii" w:eastAsiaTheme="minorAscii" w:cstheme="minorAscii"/>
            <w:sz w:val="22"/>
            <w:szCs w:val="22"/>
          </w:rPr>
          <w:t>https://doi.org/10.1080/08941920.2018.1550229</w:t>
        </w:r>
      </w:hyperlink>
    </w:p>
    <w:p w:rsidRPr="00A63E0D" w:rsidR="000220D5" w:rsidP="1CCCBE73" w:rsidRDefault="000220D5" w14:paraId="3BFAF030" w14:textId="77777777" w14:noSpellErr="1">
      <w:pPr>
        <w:bidi w:val="0"/>
        <w:ind w:firstLine="0"/>
        <w:jc w:val="left"/>
        <w:rPr>
          <w:rFonts w:ascii="Calibri" w:hAnsi="Calibri" w:eastAsia="Calibri" w:cs="Calibri" w:asciiTheme="minorAscii" w:hAnsiTheme="minorAscii" w:eastAsiaTheme="minorAscii" w:cstheme="minorAscii"/>
        </w:rPr>
      </w:pPr>
    </w:p>
    <w:sectPr w:rsidRPr="00A63E0D" w:rsidR="000220D5" w:rsidSect="00265457">
      <w:headerReference w:type="even" r:id="rId17"/>
      <w:headerReference w:type="default" r:id="rId18"/>
      <w:footerReference w:type="even" r:id="rId19"/>
      <w:footerReference w:type="default" r:id="rId20"/>
      <w:headerReference w:type="first" r:id="rId21"/>
      <w:footerReference w:type="first" r:id="rId22"/>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65457" w:rsidP="00806CAA" w:rsidRDefault="00265457" w14:paraId="58BB758F" w14:textId="77777777">
      <w:pPr>
        <w:spacing w:after="0" w:line="240" w:lineRule="auto"/>
      </w:pPr>
      <w:r>
        <w:separator/>
      </w:r>
    </w:p>
  </w:endnote>
  <w:endnote w:type="continuationSeparator" w:id="0">
    <w:p w:rsidR="00265457" w:rsidP="00806CAA" w:rsidRDefault="00265457" w14:paraId="6B31229A" w14:textId="77777777">
      <w:pPr>
        <w:spacing w:after="0" w:line="240" w:lineRule="auto"/>
      </w:pPr>
      <w:r>
        <w:continuationSeparator/>
      </w:r>
    </w:p>
  </w:endnote>
  <w:endnote w:type="continuationNotice" w:id="1">
    <w:p w:rsidR="00265457" w:rsidRDefault="00265457" w14:paraId="1C1EE43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65457" w:rsidP="00806CAA" w:rsidRDefault="00265457" w14:paraId="62F1CC8C" w14:textId="77777777">
      <w:pPr>
        <w:spacing w:after="0" w:line="240" w:lineRule="auto"/>
      </w:pPr>
      <w:r>
        <w:separator/>
      </w:r>
    </w:p>
  </w:footnote>
  <w:footnote w:type="continuationSeparator" w:id="0">
    <w:p w:rsidR="00265457" w:rsidP="00806CAA" w:rsidRDefault="00265457" w14:paraId="66EB2BD5" w14:textId="77777777">
      <w:pPr>
        <w:spacing w:after="0" w:line="240" w:lineRule="auto"/>
      </w:pPr>
      <w:r>
        <w:continuationSeparator/>
      </w:r>
    </w:p>
  </w:footnote>
  <w:footnote w:type="continuationNotice" w:id="1">
    <w:p w:rsidR="00265457" w:rsidRDefault="00265457" w14:paraId="223F86E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0">
    <w:nsid w:val="1b4f2f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5401858"/>
    <w:multiLevelType w:val="multilevel"/>
    <w:tmpl w:val="522CF52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 w15:restartNumberingAfterBreak="0">
    <w:nsid w:val="08E728F3"/>
    <w:multiLevelType w:val="multilevel"/>
    <w:tmpl w:val="640A69E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 w15:restartNumberingAfterBreak="0">
    <w:nsid w:val="09926888"/>
    <w:multiLevelType w:val="multilevel"/>
    <w:tmpl w:val="FF565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9B35829"/>
    <w:multiLevelType w:val="multilevel"/>
    <w:tmpl w:val="C2DAA7D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 w15:restartNumberingAfterBreak="0">
    <w:nsid w:val="10997343"/>
    <w:multiLevelType w:val="multilevel"/>
    <w:tmpl w:val="60DE8FC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8" w15:restartNumberingAfterBreak="0">
    <w:nsid w:val="11757150"/>
    <w:multiLevelType w:val="multilevel"/>
    <w:tmpl w:val="A88472F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9" w15:restartNumberingAfterBreak="0">
    <w:nsid w:val="11B73C1D"/>
    <w:multiLevelType w:val="multilevel"/>
    <w:tmpl w:val="D35C1E5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0" w15:restartNumberingAfterBreak="0">
    <w:nsid w:val="137359F0"/>
    <w:multiLevelType w:val="multilevel"/>
    <w:tmpl w:val="152EE2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56E4D70"/>
    <w:multiLevelType w:val="multilevel"/>
    <w:tmpl w:val="16BA64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77E6B8F"/>
    <w:multiLevelType w:val="multilevel"/>
    <w:tmpl w:val="581E127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3" w15:restartNumberingAfterBreak="0">
    <w:nsid w:val="195E6D15"/>
    <w:multiLevelType w:val="multilevel"/>
    <w:tmpl w:val="37763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1A86077B"/>
    <w:multiLevelType w:val="hybridMultilevel"/>
    <w:tmpl w:val="11D0D994"/>
    <w:lvl w:ilvl="0" w:tplc="C0064604">
      <w:start w:val="1"/>
      <w:numFmt w:val="bullet"/>
      <w:lvlText w:val=""/>
      <w:lvlJc w:val="left"/>
      <w:pPr>
        <w:ind w:left="720" w:hanging="360"/>
      </w:pPr>
      <w:rPr>
        <w:rFonts w:hint="default" w:ascii="Symbol" w:hAnsi="Symbol"/>
      </w:rPr>
    </w:lvl>
    <w:lvl w:ilvl="1" w:tplc="8B76C310">
      <w:start w:val="1"/>
      <w:numFmt w:val="bullet"/>
      <w:lvlText w:val="o"/>
      <w:lvlJc w:val="left"/>
      <w:pPr>
        <w:ind w:left="1440" w:hanging="360"/>
      </w:pPr>
      <w:rPr>
        <w:rFonts w:hint="default" w:ascii="Courier New" w:hAnsi="Courier New"/>
      </w:rPr>
    </w:lvl>
    <w:lvl w:ilvl="2" w:tplc="E3F0F168">
      <w:start w:val="1"/>
      <w:numFmt w:val="bullet"/>
      <w:lvlText w:val=""/>
      <w:lvlJc w:val="left"/>
      <w:pPr>
        <w:ind w:left="2160" w:hanging="360"/>
      </w:pPr>
      <w:rPr>
        <w:rFonts w:hint="default" w:ascii="Wingdings" w:hAnsi="Wingdings"/>
      </w:rPr>
    </w:lvl>
    <w:lvl w:ilvl="3" w:tplc="BAFABA2C">
      <w:start w:val="1"/>
      <w:numFmt w:val="bullet"/>
      <w:lvlText w:val=""/>
      <w:lvlJc w:val="left"/>
      <w:pPr>
        <w:ind w:left="2880" w:hanging="360"/>
      </w:pPr>
      <w:rPr>
        <w:rFonts w:hint="default" w:ascii="Symbol" w:hAnsi="Symbol"/>
      </w:rPr>
    </w:lvl>
    <w:lvl w:ilvl="4" w:tplc="BF76C7B6">
      <w:start w:val="1"/>
      <w:numFmt w:val="bullet"/>
      <w:lvlText w:val="o"/>
      <w:lvlJc w:val="left"/>
      <w:pPr>
        <w:ind w:left="3600" w:hanging="360"/>
      </w:pPr>
      <w:rPr>
        <w:rFonts w:hint="default" w:ascii="Courier New" w:hAnsi="Courier New"/>
      </w:rPr>
    </w:lvl>
    <w:lvl w:ilvl="5" w:tplc="0D4A2F30">
      <w:start w:val="1"/>
      <w:numFmt w:val="bullet"/>
      <w:lvlText w:val=""/>
      <w:lvlJc w:val="left"/>
      <w:pPr>
        <w:ind w:left="4320" w:hanging="360"/>
      </w:pPr>
      <w:rPr>
        <w:rFonts w:hint="default" w:ascii="Wingdings" w:hAnsi="Wingdings"/>
      </w:rPr>
    </w:lvl>
    <w:lvl w:ilvl="6" w:tplc="CF9A0722">
      <w:start w:val="1"/>
      <w:numFmt w:val="bullet"/>
      <w:lvlText w:val=""/>
      <w:lvlJc w:val="left"/>
      <w:pPr>
        <w:ind w:left="5040" w:hanging="360"/>
      </w:pPr>
      <w:rPr>
        <w:rFonts w:hint="default" w:ascii="Symbol" w:hAnsi="Symbol"/>
      </w:rPr>
    </w:lvl>
    <w:lvl w:ilvl="7" w:tplc="FF62FF04">
      <w:start w:val="1"/>
      <w:numFmt w:val="bullet"/>
      <w:lvlText w:val="o"/>
      <w:lvlJc w:val="left"/>
      <w:pPr>
        <w:ind w:left="5760" w:hanging="360"/>
      </w:pPr>
      <w:rPr>
        <w:rFonts w:hint="default" w:ascii="Courier New" w:hAnsi="Courier New"/>
      </w:rPr>
    </w:lvl>
    <w:lvl w:ilvl="8" w:tplc="EEC0FF7A">
      <w:start w:val="1"/>
      <w:numFmt w:val="bullet"/>
      <w:lvlText w:val=""/>
      <w:lvlJc w:val="left"/>
      <w:pPr>
        <w:ind w:left="6480" w:hanging="360"/>
      </w:pPr>
      <w:rPr>
        <w:rFonts w:hint="default" w:ascii="Wingdings" w:hAnsi="Wingdings"/>
      </w:rPr>
    </w:lvl>
  </w:abstractNum>
  <w:abstractNum w:abstractNumId="15" w15:restartNumberingAfterBreak="0">
    <w:nsid w:val="1D9DFC45"/>
    <w:multiLevelType w:val="hybridMultilevel"/>
    <w:tmpl w:val="0EE81D78"/>
    <w:lvl w:ilvl="0" w:tplc="D660C60E">
      <w:start w:val="1"/>
      <w:numFmt w:val="bullet"/>
      <w:lvlText w:val=""/>
      <w:lvlJc w:val="left"/>
      <w:pPr>
        <w:ind w:left="720" w:hanging="360"/>
      </w:pPr>
      <w:rPr>
        <w:rFonts w:hint="default" w:ascii="Symbol" w:hAnsi="Symbol"/>
      </w:rPr>
    </w:lvl>
    <w:lvl w:ilvl="1" w:tplc="8CCA9A4E">
      <w:start w:val="1"/>
      <w:numFmt w:val="bullet"/>
      <w:lvlText w:val="o"/>
      <w:lvlJc w:val="left"/>
      <w:pPr>
        <w:ind w:left="1440" w:hanging="360"/>
      </w:pPr>
      <w:rPr>
        <w:rFonts w:hint="default" w:ascii="Courier New" w:hAnsi="Courier New"/>
      </w:rPr>
    </w:lvl>
    <w:lvl w:ilvl="2" w:tplc="0DA2510C">
      <w:start w:val="1"/>
      <w:numFmt w:val="bullet"/>
      <w:lvlText w:val=""/>
      <w:lvlJc w:val="left"/>
      <w:pPr>
        <w:ind w:left="2160" w:hanging="360"/>
      </w:pPr>
      <w:rPr>
        <w:rFonts w:hint="default" w:ascii="Wingdings" w:hAnsi="Wingdings"/>
      </w:rPr>
    </w:lvl>
    <w:lvl w:ilvl="3" w:tplc="CB9C9BD2">
      <w:start w:val="1"/>
      <w:numFmt w:val="bullet"/>
      <w:lvlText w:val=""/>
      <w:lvlJc w:val="left"/>
      <w:pPr>
        <w:ind w:left="2880" w:hanging="360"/>
      </w:pPr>
      <w:rPr>
        <w:rFonts w:hint="default" w:ascii="Symbol" w:hAnsi="Symbol"/>
      </w:rPr>
    </w:lvl>
    <w:lvl w:ilvl="4" w:tplc="5752763E">
      <w:start w:val="1"/>
      <w:numFmt w:val="bullet"/>
      <w:lvlText w:val="o"/>
      <w:lvlJc w:val="left"/>
      <w:pPr>
        <w:ind w:left="3600" w:hanging="360"/>
      </w:pPr>
      <w:rPr>
        <w:rFonts w:hint="default" w:ascii="Courier New" w:hAnsi="Courier New"/>
      </w:rPr>
    </w:lvl>
    <w:lvl w:ilvl="5" w:tplc="8EA01A36">
      <w:start w:val="1"/>
      <w:numFmt w:val="bullet"/>
      <w:lvlText w:val=""/>
      <w:lvlJc w:val="left"/>
      <w:pPr>
        <w:ind w:left="4320" w:hanging="360"/>
      </w:pPr>
      <w:rPr>
        <w:rFonts w:hint="default" w:ascii="Wingdings" w:hAnsi="Wingdings"/>
      </w:rPr>
    </w:lvl>
    <w:lvl w:ilvl="6" w:tplc="093CBCBE">
      <w:start w:val="1"/>
      <w:numFmt w:val="bullet"/>
      <w:lvlText w:val=""/>
      <w:lvlJc w:val="left"/>
      <w:pPr>
        <w:ind w:left="5040" w:hanging="360"/>
      </w:pPr>
      <w:rPr>
        <w:rFonts w:hint="default" w:ascii="Symbol" w:hAnsi="Symbol"/>
      </w:rPr>
    </w:lvl>
    <w:lvl w:ilvl="7" w:tplc="45983628">
      <w:start w:val="1"/>
      <w:numFmt w:val="bullet"/>
      <w:lvlText w:val="o"/>
      <w:lvlJc w:val="left"/>
      <w:pPr>
        <w:ind w:left="5760" w:hanging="360"/>
      </w:pPr>
      <w:rPr>
        <w:rFonts w:hint="default" w:ascii="Courier New" w:hAnsi="Courier New"/>
      </w:rPr>
    </w:lvl>
    <w:lvl w:ilvl="8" w:tplc="0E6C91CA">
      <w:start w:val="1"/>
      <w:numFmt w:val="bullet"/>
      <w:lvlText w:val=""/>
      <w:lvlJc w:val="left"/>
      <w:pPr>
        <w:ind w:left="6480" w:hanging="360"/>
      </w:pPr>
      <w:rPr>
        <w:rFonts w:hint="default" w:ascii="Wingdings" w:hAnsi="Wingdings"/>
      </w:rPr>
    </w:lvl>
  </w:abstractNum>
  <w:abstractNum w:abstractNumId="16" w15:restartNumberingAfterBreak="0">
    <w:nsid w:val="208965E3"/>
    <w:multiLevelType w:val="multilevel"/>
    <w:tmpl w:val="0646F0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25B00E63"/>
    <w:multiLevelType w:val="multilevel"/>
    <w:tmpl w:val="3274E32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8" w15:restartNumberingAfterBreak="0">
    <w:nsid w:val="26497DA5"/>
    <w:multiLevelType w:val="multilevel"/>
    <w:tmpl w:val="0C3C9D6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9" w15:restartNumberingAfterBreak="0">
    <w:nsid w:val="2C3F2BA0"/>
    <w:multiLevelType w:val="multilevel"/>
    <w:tmpl w:val="834A35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0" w15:restartNumberingAfterBreak="0">
    <w:nsid w:val="2CB97471"/>
    <w:multiLevelType w:val="multilevel"/>
    <w:tmpl w:val="DE24C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D2E6FA7"/>
    <w:multiLevelType w:val="multilevel"/>
    <w:tmpl w:val="6A0265B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2" w15:restartNumberingAfterBreak="0">
    <w:nsid w:val="2D9A3171"/>
    <w:multiLevelType w:val="multilevel"/>
    <w:tmpl w:val="00645ED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3" w15:restartNumberingAfterBreak="0">
    <w:nsid w:val="34AC5CE9"/>
    <w:multiLevelType w:val="multilevel"/>
    <w:tmpl w:val="3B72D94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4" w15:restartNumberingAfterBreak="0">
    <w:nsid w:val="36854A9C"/>
    <w:multiLevelType w:val="multilevel"/>
    <w:tmpl w:val="2FCC103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5" w15:restartNumberingAfterBreak="0">
    <w:nsid w:val="370B5EED"/>
    <w:multiLevelType w:val="multilevel"/>
    <w:tmpl w:val="C840D0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6" w15:restartNumberingAfterBreak="0">
    <w:nsid w:val="382513C3"/>
    <w:multiLevelType w:val="multilevel"/>
    <w:tmpl w:val="9ED25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8AA1A79"/>
    <w:multiLevelType w:val="multilevel"/>
    <w:tmpl w:val="726ABD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8"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abstractNum w:abstractNumId="29" w15:restartNumberingAfterBreak="0">
    <w:nsid w:val="3AA05BBE"/>
    <w:multiLevelType w:val="multilevel"/>
    <w:tmpl w:val="BB8456D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0" w15:restartNumberingAfterBreak="0">
    <w:nsid w:val="3B0A4149"/>
    <w:multiLevelType w:val="multilevel"/>
    <w:tmpl w:val="AB1A928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1" w15:restartNumberingAfterBreak="0">
    <w:nsid w:val="3C6E1508"/>
    <w:multiLevelType w:val="multilevel"/>
    <w:tmpl w:val="1870E11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2" w15:restartNumberingAfterBreak="0">
    <w:nsid w:val="43A25CDF"/>
    <w:multiLevelType w:val="multilevel"/>
    <w:tmpl w:val="66B2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4CB5426"/>
    <w:multiLevelType w:val="multilevel"/>
    <w:tmpl w:val="04D239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53D6870"/>
    <w:multiLevelType w:val="multilevel"/>
    <w:tmpl w:val="E2AA155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5" w15:restartNumberingAfterBreak="0">
    <w:nsid w:val="491F7EFB"/>
    <w:multiLevelType w:val="multilevel"/>
    <w:tmpl w:val="840C65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6" w15:restartNumberingAfterBreak="0">
    <w:nsid w:val="4B4D1DDE"/>
    <w:multiLevelType w:val="multilevel"/>
    <w:tmpl w:val="EAE4DFA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7" w15:restartNumberingAfterBreak="0">
    <w:nsid w:val="50493534"/>
    <w:multiLevelType w:val="multilevel"/>
    <w:tmpl w:val="8542B8A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8" w15:restartNumberingAfterBreak="0">
    <w:nsid w:val="50F9296B"/>
    <w:multiLevelType w:val="multilevel"/>
    <w:tmpl w:val="4EC2E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27D5EC3"/>
    <w:multiLevelType w:val="multilevel"/>
    <w:tmpl w:val="5176807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0" w15:restartNumberingAfterBreak="0">
    <w:nsid w:val="58A032FF"/>
    <w:multiLevelType w:val="multilevel"/>
    <w:tmpl w:val="19E492A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1" w15:restartNumberingAfterBreak="0">
    <w:nsid w:val="5A0C54B6"/>
    <w:multiLevelType w:val="multilevel"/>
    <w:tmpl w:val="272ABC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2" w15:restartNumberingAfterBreak="0">
    <w:nsid w:val="5B3A7A8D"/>
    <w:multiLevelType w:val="multilevel"/>
    <w:tmpl w:val="9A36AD3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3" w15:restartNumberingAfterBreak="0">
    <w:nsid w:val="5CDA60F2"/>
    <w:multiLevelType w:val="multilevel"/>
    <w:tmpl w:val="C24A346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4" w15:restartNumberingAfterBreak="0">
    <w:nsid w:val="5D031543"/>
    <w:multiLevelType w:val="multilevel"/>
    <w:tmpl w:val="A708755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5" w15:restartNumberingAfterBreak="0">
    <w:nsid w:val="5E702B06"/>
    <w:multiLevelType w:val="multilevel"/>
    <w:tmpl w:val="5B4ABF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6" w15:restartNumberingAfterBreak="0">
    <w:nsid w:val="5F946BCD"/>
    <w:multiLevelType w:val="multilevel"/>
    <w:tmpl w:val="DC32F5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62790B31"/>
    <w:multiLevelType w:val="multilevel"/>
    <w:tmpl w:val="1E367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54A183F"/>
    <w:multiLevelType w:val="multilevel"/>
    <w:tmpl w:val="98DE20F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9" w15:restartNumberingAfterBreak="0">
    <w:nsid w:val="67305681"/>
    <w:multiLevelType w:val="multilevel"/>
    <w:tmpl w:val="C4382D5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0" w15:restartNumberingAfterBreak="0">
    <w:nsid w:val="68FA155C"/>
    <w:multiLevelType w:val="multilevel"/>
    <w:tmpl w:val="59848F7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1" w15:restartNumberingAfterBreak="0">
    <w:nsid w:val="68FBBBF9"/>
    <w:multiLevelType w:val="hybridMultilevel"/>
    <w:tmpl w:val="E0E8A756"/>
    <w:lvl w:ilvl="0" w:tplc="385693DC">
      <w:start w:val="1"/>
      <w:numFmt w:val="bullet"/>
      <w:lvlText w:val=""/>
      <w:lvlJc w:val="left"/>
      <w:pPr>
        <w:ind w:left="720" w:hanging="360"/>
      </w:pPr>
      <w:rPr>
        <w:rFonts w:hint="default" w:ascii="Symbol" w:hAnsi="Symbol"/>
      </w:rPr>
    </w:lvl>
    <w:lvl w:ilvl="1" w:tplc="E080186C">
      <w:start w:val="1"/>
      <w:numFmt w:val="bullet"/>
      <w:lvlText w:val="o"/>
      <w:lvlJc w:val="left"/>
      <w:pPr>
        <w:ind w:left="1440" w:hanging="360"/>
      </w:pPr>
      <w:rPr>
        <w:rFonts w:hint="default" w:ascii="Courier New" w:hAnsi="Courier New"/>
      </w:rPr>
    </w:lvl>
    <w:lvl w:ilvl="2" w:tplc="4E2A0BF6">
      <w:start w:val="1"/>
      <w:numFmt w:val="bullet"/>
      <w:lvlText w:val=""/>
      <w:lvlJc w:val="left"/>
      <w:pPr>
        <w:ind w:left="2160" w:hanging="360"/>
      </w:pPr>
      <w:rPr>
        <w:rFonts w:hint="default" w:ascii="Wingdings" w:hAnsi="Wingdings"/>
      </w:rPr>
    </w:lvl>
    <w:lvl w:ilvl="3" w:tplc="35AA2FBC">
      <w:start w:val="1"/>
      <w:numFmt w:val="bullet"/>
      <w:lvlText w:val=""/>
      <w:lvlJc w:val="left"/>
      <w:pPr>
        <w:ind w:left="2880" w:hanging="360"/>
      </w:pPr>
      <w:rPr>
        <w:rFonts w:hint="default" w:ascii="Symbol" w:hAnsi="Symbol"/>
      </w:rPr>
    </w:lvl>
    <w:lvl w:ilvl="4" w:tplc="B5CCE77A">
      <w:start w:val="1"/>
      <w:numFmt w:val="bullet"/>
      <w:lvlText w:val="o"/>
      <w:lvlJc w:val="left"/>
      <w:pPr>
        <w:ind w:left="3600" w:hanging="360"/>
      </w:pPr>
      <w:rPr>
        <w:rFonts w:hint="default" w:ascii="Courier New" w:hAnsi="Courier New"/>
      </w:rPr>
    </w:lvl>
    <w:lvl w:ilvl="5" w:tplc="BECAF152">
      <w:start w:val="1"/>
      <w:numFmt w:val="bullet"/>
      <w:lvlText w:val=""/>
      <w:lvlJc w:val="left"/>
      <w:pPr>
        <w:ind w:left="4320" w:hanging="360"/>
      </w:pPr>
      <w:rPr>
        <w:rFonts w:hint="default" w:ascii="Wingdings" w:hAnsi="Wingdings"/>
      </w:rPr>
    </w:lvl>
    <w:lvl w:ilvl="6" w:tplc="9E60492C">
      <w:start w:val="1"/>
      <w:numFmt w:val="bullet"/>
      <w:lvlText w:val=""/>
      <w:lvlJc w:val="left"/>
      <w:pPr>
        <w:ind w:left="5040" w:hanging="360"/>
      </w:pPr>
      <w:rPr>
        <w:rFonts w:hint="default" w:ascii="Symbol" w:hAnsi="Symbol"/>
      </w:rPr>
    </w:lvl>
    <w:lvl w:ilvl="7" w:tplc="6CB4CC12">
      <w:start w:val="1"/>
      <w:numFmt w:val="bullet"/>
      <w:lvlText w:val="o"/>
      <w:lvlJc w:val="left"/>
      <w:pPr>
        <w:ind w:left="5760" w:hanging="360"/>
      </w:pPr>
      <w:rPr>
        <w:rFonts w:hint="default" w:ascii="Courier New" w:hAnsi="Courier New"/>
      </w:rPr>
    </w:lvl>
    <w:lvl w:ilvl="8" w:tplc="79C03B98">
      <w:start w:val="1"/>
      <w:numFmt w:val="bullet"/>
      <w:lvlText w:val=""/>
      <w:lvlJc w:val="left"/>
      <w:pPr>
        <w:ind w:left="6480" w:hanging="360"/>
      </w:pPr>
      <w:rPr>
        <w:rFonts w:hint="default" w:ascii="Wingdings" w:hAnsi="Wingdings"/>
      </w:rPr>
    </w:lvl>
  </w:abstractNum>
  <w:abstractNum w:abstractNumId="52" w15:restartNumberingAfterBreak="0">
    <w:nsid w:val="69DD0028"/>
    <w:multiLevelType w:val="multilevel"/>
    <w:tmpl w:val="58A2C9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6C862C74"/>
    <w:multiLevelType w:val="multilevel"/>
    <w:tmpl w:val="175A52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4" w15:restartNumberingAfterBreak="0">
    <w:nsid w:val="6D034FF9"/>
    <w:multiLevelType w:val="multilevel"/>
    <w:tmpl w:val="7F8223F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5" w15:restartNumberingAfterBreak="0">
    <w:nsid w:val="6DC9197D"/>
    <w:multiLevelType w:val="multilevel"/>
    <w:tmpl w:val="114A994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6" w15:restartNumberingAfterBreak="0">
    <w:nsid w:val="79162339"/>
    <w:multiLevelType w:val="multilevel"/>
    <w:tmpl w:val="18CCC3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7" w15:restartNumberingAfterBreak="0">
    <w:nsid w:val="7A0628DA"/>
    <w:multiLevelType w:val="hybridMultilevel"/>
    <w:tmpl w:val="C94AD95C"/>
    <w:lvl w:ilvl="0" w:tplc="37D2D60E">
      <w:start w:val="1"/>
      <w:numFmt w:val="bullet"/>
      <w:lvlText w:val=""/>
      <w:lvlJc w:val="left"/>
      <w:pPr>
        <w:ind w:left="720" w:hanging="360"/>
      </w:pPr>
      <w:rPr>
        <w:rFonts w:hint="default" w:ascii="Symbol" w:hAnsi="Symbol"/>
      </w:rPr>
    </w:lvl>
    <w:lvl w:ilvl="1" w:tplc="603C7236">
      <w:start w:val="1"/>
      <w:numFmt w:val="bullet"/>
      <w:lvlText w:val="o"/>
      <w:lvlJc w:val="left"/>
      <w:pPr>
        <w:ind w:left="1440" w:hanging="360"/>
      </w:pPr>
      <w:rPr>
        <w:rFonts w:hint="default" w:ascii="Courier New" w:hAnsi="Courier New"/>
      </w:rPr>
    </w:lvl>
    <w:lvl w:ilvl="2" w:tplc="F40E6954">
      <w:start w:val="1"/>
      <w:numFmt w:val="bullet"/>
      <w:lvlText w:val=""/>
      <w:lvlJc w:val="left"/>
      <w:pPr>
        <w:ind w:left="2160" w:hanging="360"/>
      </w:pPr>
      <w:rPr>
        <w:rFonts w:hint="default" w:ascii="Wingdings" w:hAnsi="Wingdings"/>
      </w:rPr>
    </w:lvl>
    <w:lvl w:ilvl="3" w:tplc="4F1448FC">
      <w:start w:val="1"/>
      <w:numFmt w:val="bullet"/>
      <w:lvlText w:val=""/>
      <w:lvlJc w:val="left"/>
      <w:pPr>
        <w:ind w:left="2880" w:hanging="360"/>
      </w:pPr>
      <w:rPr>
        <w:rFonts w:hint="default" w:ascii="Symbol" w:hAnsi="Symbol"/>
      </w:rPr>
    </w:lvl>
    <w:lvl w:ilvl="4" w:tplc="769A5D30">
      <w:start w:val="1"/>
      <w:numFmt w:val="bullet"/>
      <w:lvlText w:val="o"/>
      <w:lvlJc w:val="left"/>
      <w:pPr>
        <w:ind w:left="3600" w:hanging="360"/>
      </w:pPr>
      <w:rPr>
        <w:rFonts w:hint="default" w:ascii="Courier New" w:hAnsi="Courier New"/>
      </w:rPr>
    </w:lvl>
    <w:lvl w:ilvl="5" w:tplc="52A033D4">
      <w:start w:val="1"/>
      <w:numFmt w:val="bullet"/>
      <w:lvlText w:val=""/>
      <w:lvlJc w:val="left"/>
      <w:pPr>
        <w:ind w:left="4320" w:hanging="360"/>
      </w:pPr>
      <w:rPr>
        <w:rFonts w:hint="default" w:ascii="Wingdings" w:hAnsi="Wingdings"/>
      </w:rPr>
    </w:lvl>
    <w:lvl w:ilvl="6" w:tplc="D2A0C048">
      <w:start w:val="1"/>
      <w:numFmt w:val="bullet"/>
      <w:lvlText w:val=""/>
      <w:lvlJc w:val="left"/>
      <w:pPr>
        <w:ind w:left="5040" w:hanging="360"/>
      </w:pPr>
      <w:rPr>
        <w:rFonts w:hint="default" w:ascii="Symbol" w:hAnsi="Symbol"/>
      </w:rPr>
    </w:lvl>
    <w:lvl w:ilvl="7" w:tplc="3F3C3428">
      <w:start w:val="1"/>
      <w:numFmt w:val="bullet"/>
      <w:lvlText w:val="o"/>
      <w:lvlJc w:val="left"/>
      <w:pPr>
        <w:ind w:left="5760" w:hanging="360"/>
      </w:pPr>
      <w:rPr>
        <w:rFonts w:hint="default" w:ascii="Courier New" w:hAnsi="Courier New"/>
      </w:rPr>
    </w:lvl>
    <w:lvl w:ilvl="8" w:tplc="6D3ADEB6">
      <w:start w:val="1"/>
      <w:numFmt w:val="bullet"/>
      <w:lvlText w:val=""/>
      <w:lvlJc w:val="left"/>
      <w:pPr>
        <w:ind w:left="6480" w:hanging="360"/>
      </w:pPr>
      <w:rPr>
        <w:rFonts w:hint="default" w:ascii="Wingdings" w:hAnsi="Wingdings"/>
      </w:rPr>
    </w:lvl>
  </w:abstractNum>
  <w:abstractNum w:abstractNumId="58" w15:restartNumberingAfterBreak="0">
    <w:nsid w:val="7D417850"/>
    <w:multiLevelType w:val="multilevel"/>
    <w:tmpl w:val="DA9AEA2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9" w15:restartNumberingAfterBreak="0">
    <w:nsid w:val="7E7956CA"/>
    <w:multiLevelType w:val="hybridMultilevel"/>
    <w:tmpl w:val="220EC502"/>
    <w:lvl w:ilvl="0" w:tplc="6D4A08F8">
      <w:start w:val="1"/>
      <w:numFmt w:val="bullet"/>
      <w:lvlText w:val=""/>
      <w:lvlJc w:val="left"/>
      <w:pPr>
        <w:ind w:left="720" w:hanging="360"/>
      </w:pPr>
      <w:rPr>
        <w:rFonts w:hint="default" w:ascii="Symbol" w:hAnsi="Symbol"/>
      </w:rPr>
    </w:lvl>
    <w:lvl w:ilvl="1" w:tplc="7E285BD2">
      <w:start w:val="1"/>
      <w:numFmt w:val="bullet"/>
      <w:lvlText w:val="o"/>
      <w:lvlJc w:val="left"/>
      <w:pPr>
        <w:ind w:left="1440" w:hanging="360"/>
      </w:pPr>
      <w:rPr>
        <w:rFonts w:hint="default" w:ascii="Courier New" w:hAnsi="Courier New"/>
      </w:rPr>
    </w:lvl>
    <w:lvl w:ilvl="2" w:tplc="08560E66">
      <w:start w:val="1"/>
      <w:numFmt w:val="bullet"/>
      <w:lvlText w:val=""/>
      <w:lvlJc w:val="left"/>
      <w:pPr>
        <w:ind w:left="2160" w:hanging="360"/>
      </w:pPr>
      <w:rPr>
        <w:rFonts w:hint="default" w:ascii="Wingdings" w:hAnsi="Wingdings"/>
      </w:rPr>
    </w:lvl>
    <w:lvl w:ilvl="3" w:tplc="C2E2CD2E">
      <w:start w:val="1"/>
      <w:numFmt w:val="bullet"/>
      <w:lvlText w:val=""/>
      <w:lvlJc w:val="left"/>
      <w:pPr>
        <w:ind w:left="2880" w:hanging="360"/>
      </w:pPr>
      <w:rPr>
        <w:rFonts w:hint="default" w:ascii="Symbol" w:hAnsi="Symbol"/>
      </w:rPr>
    </w:lvl>
    <w:lvl w:ilvl="4" w:tplc="02B435D4">
      <w:start w:val="1"/>
      <w:numFmt w:val="bullet"/>
      <w:lvlText w:val="o"/>
      <w:lvlJc w:val="left"/>
      <w:pPr>
        <w:ind w:left="3600" w:hanging="360"/>
      </w:pPr>
      <w:rPr>
        <w:rFonts w:hint="default" w:ascii="Courier New" w:hAnsi="Courier New"/>
      </w:rPr>
    </w:lvl>
    <w:lvl w:ilvl="5" w:tplc="585A0334">
      <w:start w:val="1"/>
      <w:numFmt w:val="bullet"/>
      <w:lvlText w:val=""/>
      <w:lvlJc w:val="left"/>
      <w:pPr>
        <w:ind w:left="4320" w:hanging="360"/>
      </w:pPr>
      <w:rPr>
        <w:rFonts w:hint="default" w:ascii="Wingdings" w:hAnsi="Wingdings"/>
      </w:rPr>
    </w:lvl>
    <w:lvl w:ilvl="6" w:tplc="5EB81CB0">
      <w:start w:val="1"/>
      <w:numFmt w:val="bullet"/>
      <w:lvlText w:val=""/>
      <w:lvlJc w:val="left"/>
      <w:pPr>
        <w:ind w:left="5040" w:hanging="360"/>
      </w:pPr>
      <w:rPr>
        <w:rFonts w:hint="default" w:ascii="Symbol" w:hAnsi="Symbol"/>
      </w:rPr>
    </w:lvl>
    <w:lvl w:ilvl="7" w:tplc="0BBED34E">
      <w:start w:val="1"/>
      <w:numFmt w:val="bullet"/>
      <w:lvlText w:val="o"/>
      <w:lvlJc w:val="left"/>
      <w:pPr>
        <w:ind w:left="5760" w:hanging="360"/>
      </w:pPr>
      <w:rPr>
        <w:rFonts w:hint="default" w:ascii="Courier New" w:hAnsi="Courier New"/>
      </w:rPr>
    </w:lvl>
    <w:lvl w:ilvl="8" w:tplc="E2B6F0F4">
      <w:start w:val="1"/>
      <w:numFmt w:val="bullet"/>
      <w:lvlText w:val=""/>
      <w:lvlJc w:val="left"/>
      <w:pPr>
        <w:ind w:left="6480" w:hanging="360"/>
      </w:pPr>
      <w:rPr>
        <w:rFonts w:hint="default" w:ascii="Wingdings" w:hAnsi="Wingdings"/>
      </w:rPr>
    </w:lvl>
  </w:abstractNum>
  <w:num w:numId="61">
    <w:abstractNumId w:val="60"/>
  </w:num>
  <w:num w:numId="1" w16cid:durableId="711464868">
    <w:abstractNumId w:val="28"/>
  </w:num>
  <w:num w:numId="2" w16cid:durableId="512306937">
    <w:abstractNumId w:val="5"/>
  </w:num>
  <w:num w:numId="3" w16cid:durableId="206992781">
    <w:abstractNumId w:val="53"/>
  </w:num>
  <w:num w:numId="4" w16cid:durableId="1703481878">
    <w:abstractNumId w:val="50"/>
  </w:num>
  <w:num w:numId="5" w16cid:durableId="576675107">
    <w:abstractNumId w:val="16"/>
  </w:num>
  <w:num w:numId="6" w16cid:durableId="1562131843">
    <w:abstractNumId w:val="54"/>
  </w:num>
  <w:num w:numId="7" w16cid:durableId="299726905">
    <w:abstractNumId w:val="36"/>
  </w:num>
  <w:num w:numId="8" w16cid:durableId="715007935">
    <w:abstractNumId w:val="11"/>
  </w:num>
  <w:num w:numId="9" w16cid:durableId="928855666">
    <w:abstractNumId w:val="55"/>
  </w:num>
  <w:num w:numId="10" w16cid:durableId="1720860981">
    <w:abstractNumId w:val="8"/>
  </w:num>
  <w:num w:numId="11" w16cid:durableId="190068647">
    <w:abstractNumId w:val="13"/>
  </w:num>
  <w:num w:numId="12" w16cid:durableId="785076319">
    <w:abstractNumId w:val="35"/>
  </w:num>
  <w:num w:numId="13" w16cid:durableId="1500736405">
    <w:abstractNumId w:val="41"/>
  </w:num>
  <w:num w:numId="14" w16cid:durableId="219638673">
    <w:abstractNumId w:val="1"/>
  </w:num>
  <w:num w:numId="15" w16cid:durableId="560404574">
    <w:abstractNumId w:val="37"/>
  </w:num>
  <w:num w:numId="16" w16cid:durableId="209223603">
    <w:abstractNumId w:val="22"/>
  </w:num>
  <w:num w:numId="17" w16cid:durableId="186331991">
    <w:abstractNumId w:val="32"/>
  </w:num>
  <w:num w:numId="18" w16cid:durableId="456602918">
    <w:abstractNumId w:val="4"/>
  </w:num>
  <w:num w:numId="19" w16cid:durableId="1870221285">
    <w:abstractNumId w:val="56"/>
  </w:num>
  <w:num w:numId="20" w16cid:durableId="657423227">
    <w:abstractNumId w:val="20"/>
  </w:num>
  <w:num w:numId="21" w16cid:durableId="2043819918">
    <w:abstractNumId w:val="25"/>
  </w:num>
  <w:num w:numId="22" w16cid:durableId="1455322621">
    <w:abstractNumId w:val="34"/>
  </w:num>
  <w:num w:numId="23" w16cid:durableId="1609965994">
    <w:abstractNumId w:val="52"/>
  </w:num>
  <w:num w:numId="24" w16cid:durableId="841897370">
    <w:abstractNumId w:val="42"/>
  </w:num>
  <w:num w:numId="25" w16cid:durableId="83066680">
    <w:abstractNumId w:val="44"/>
  </w:num>
  <w:num w:numId="26" w16cid:durableId="185483501">
    <w:abstractNumId w:val="6"/>
  </w:num>
  <w:num w:numId="27" w16cid:durableId="1617516286">
    <w:abstractNumId w:val="0"/>
  </w:num>
  <w:num w:numId="28" w16cid:durableId="1993757508">
    <w:abstractNumId w:val="39"/>
  </w:num>
  <w:num w:numId="29" w16cid:durableId="902791061">
    <w:abstractNumId w:val="30"/>
  </w:num>
  <w:num w:numId="30" w16cid:durableId="2103601458">
    <w:abstractNumId w:val="3"/>
  </w:num>
  <w:num w:numId="31" w16cid:durableId="2114468399">
    <w:abstractNumId w:val="2"/>
  </w:num>
  <w:num w:numId="32" w16cid:durableId="302273791">
    <w:abstractNumId w:val="18"/>
  </w:num>
  <w:num w:numId="33" w16cid:durableId="1491825444">
    <w:abstractNumId w:val="21"/>
  </w:num>
  <w:num w:numId="34" w16cid:durableId="2096170392">
    <w:abstractNumId w:val="23"/>
  </w:num>
  <w:num w:numId="35" w16cid:durableId="1145046871">
    <w:abstractNumId w:val="10"/>
  </w:num>
  <w:num w:numId="36" w16cid:durableId="117988484">
    <w:abstractNumId w:val="48"/>
  </w:num>
  <w:num w:numId="37" w16cid:durableId="516695471">
    <w:abstractNumId w:val="31"/>
  </w:num>
  <w:num w:numId="38" w16cid:durableId="646934066">
    <w:abstractNumId w:val="27"/>
  </w:num>
  <w:num w:numId="39" w16cid:durableId="342245599">
    <w:abstractNumId w:val="38"/>
  </w:num>
  <w:num w:numId="40" w16cid:durableId="2064677516">
    <w:abstractNumId w:val="9"/>
  </w:num>
  <w:num w:numId="41" w16cid:durableId="1687629369">
    <w:abstractNumId w:val="7"/>
  </w:num>
  <w:num w:numId="42" w16cid:durableId="871843537">
    <w:abstractNumId w:val="40"/>
  </w:num>
  <w:num w:numId="43" w16cid:durableId="418059248">
    <w:abstractNumId w:val="46"/>
  </w:num>
  <w:num w:numId="44" w16cid:durableId="2079593899">
    <w:abstractNumId w:val="17"/>
  </w:num>
  <w:num w:numId="45" w16cid:durableId="1976981610">
    <w:abstractNumId w:val="43"/>
  </w:num>
  <w:num w:numId="46" w16cid:durableId="1966815911">
    <w:abstractNumId w:val="49"/>
  </w:num>
  <w:num w:numId="47" w16cid:durableId="1864243382">
    <w:abstractNumId w:val="33"/>
  </w:num>
  <w:num w:numId="48" w16cid:durableId="1703246694">
    <w:abstractNumId w:val="24"/>
  </w:num>
  <w:num w:numId="49" w16cid:durableId="570239831">
    <w:abstractNumId w:val="12"/>
  </w:num>
  <w:num w:numId="50" w16cid:durableId="59835465">
    <w:abstractNumId w:val="26"/>
  </w:num>
  <w:num w:numId="51" w16cid:durableId="1461147610">
    <w:abstractNumId w:val="58"/>
  </w:num>
  <w:num w:numId="52" w16cid:durableId="1975328221">
    <w:abstractNumId w:val="19"/>
  </w:num>
  <w:num w:numId="53" w16cid:durableId="1593588635">
    <w:abstractNumId w:val="47"/>
  </w:num>
  <w:num w:numId="54" w16cid:durableId="1890261416">
    <w:abstractNumId w:val="29"/>
  </w:num>
  <w:num w:numId="55" w16cid:durableId="1264613714">
    <w:abstractNumId w:val="45"/>
  </w:num>
  <w:num w:numId="56" w16cid:durableId="1025786699">
    <w:abstractNumId w:val="14"/>
  </w:num>
  <w:num w:numId="57" w16cid:durableId="681784130">
    <w:abstractNumId w:val="57"/>
  </w:num>
  <w:num w:numId="58" w16cid:durableId="577520072">
    <w:abstractNumId w:val="59"/>
  </w:num>
  <w:num w:numId="59" w16cid:durableId="582645038">
    <w:abstractNumId w:val="15"/>
  </w:num>
  <w:num w:numId="60" w16cid:durableId="41713489">
    <w:abstractNumId w:val="51"/>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459ED"/>
    <w:rsid w:val="000B321B"/>
    <w:rsid w:val="001B024E"/>
    <w:rsid w:val="00265457"/>
    <w:rsid w:val="00273A08"/>
    <w:rsid w:val="00322F79"/>
    <w:rsid w:val="00353997"/>
    <w:rsid w:val="00354C7E"/>
    <w:rsid w:val="00376263"/>
    <w:rsid w:val="00376CA6"/>
    <w:rsid w:val="00391D74"/>
    <w:rsid w:val="003972A8"/>
    <w:rsid w:val="0042407C"/>
    <w:rsid w:val="00455DF0"/>
    <w:rsid w:val="00487FCD"/>
    <w:rsid w:val="004903A6"/>
    <w:rsid w:val="004905EA"/>
    <w:rsid w:val="004E4F70"/>
    <w:rsid w:val="00546E5A"/>
    <w:rsid w:val="00590EA3"/>
    <w:rsid w:val="005D052F"/>
    <w:rsid w:val="005F5F5C"/>
    <w:rsid w:val="00644BBC"/>
    <w:rsid w:val="0067150B"/>
    <w:rsid w:val="006A3959"/>
    <w:rsid w:val="006C5A53"/>
    <w:rsid w:val="006C7CF6"/>
    <w:rsid w:val="006D2E40"/>
    <w:rsid w:val="00720992"/>
    <w:rsid w:val="00767B58"/>
    <w:rsid w:val="00787669"/>
    <w:rsid w:val="00806CAA"/>
    <w:rsid w:val="00867C35"/>
    <w:rsid w:val="00892EB5"/>
    <w:rsid w:val="008F0851"/>
    <w:rsid w:val="00910223"/>
    <w:rsid w:val="009120D1"/>
    <w:rsid w:val="009244C8"/>
    <w:rsid w:val="00932F4C"/>
    <w:rsid w:val="00970F1F"/>
    <w:rsid w:val="00977F30"/>
    <w:rsid w:val="00996045"/>
    <w:rsid w:val="009C78AE"/>
    <w:rsid w:val="00A06B1D"/>
    <w:rsid w:val="00A26DFA"/>
    <w:rsid w:val="00A63E0D"/>
    <w:rsid w:val="00A94B83"/>
    <w:rsid w:val="00AAA338"/>
    <w:rsid w:val="00AB7745"/>
    <w:rsid w:val="00AD29EE"/>
    <w:rsid w:val="00AE4668"/>
    <w:rsid w:val="00B05960"/>
    <w:rsid w:val="00B5514D"/>
    <w:rsid w:val="00B64072"/>
    <w:rsid w:val="00BC27A0"/>
    <w:rsid w:val="00BF0566"/>
    <w:rsid w:val="00BF53BA"/>
    <w:rsid w:val="00C091F5"/>
    <w:rsid w:val="00C12D25"/>
    <w:rsid w:val="00C56055"/>
    <w:rsid w:val="00C85028"/>
    <w:rsid w:val="00CA4238"/>
    <w:rsid w:val="00CB4885"/>
    <w:rsid w:val="00CC4D4B"/>
    <w:rsid w:val="00CF742B"/>
    <w:rsid w:val="00D75A2C"/>
    <w:rsid w:val="00D91336"/>
    <w:rsid w:val="00DD5CAD"/>
    <w:rsid w:val="00DF63CF"/>
    <w:rsid w:val="00F11FDB"/>
    <w:rsid w:val="00F21A79"/>
    <w:rsid w:val="00F400C3"/>
    <w:rsid w:val="00F82581"/>
    <w:rsid w:val="00FB4318"/>
    <w:rsid w:val="00FD1C5B"/>
    <w:rsid w:val="016B8022"/>
    <w:rsid w:val="01EECE9B"/>
    <w:rsid w:val="01F9C4C4"/>
    <w:rsid w:val="022D5880"/>
    <w:rsid w:val="02AF5855"/>
    <w:rsid w:val="0396D40A"/>
    <w:rsid w:val="04A320E4"/>
    <w:rsid w:val="04A3C377"/>
    <w:rsid w:val="088B5317"/>
    <w:rsid w:val="09547668"/>
    <w:rsid w:val="0989AE80"/>
    <w:rsid w:val="0AEB1EAE"/>
    <w:rsid w:val="0B2233BB"/>
    <w:rsid w:val="0C7D9258"/>
    <w:rsid w:val="0D3132A2"/>
    <w:rsid w:val="0DA3A010"/>
    <w:rsid w:val="0DB183C3"/>
    <w:rsid w:val="0E0EBF2E"/>
    <w:rsid w:val="0E39F743"/>
    <w:rsid w:val="0E8D4083"/>
    <w:rsid w:val="10CD82F0"/>
    <w:rsid w:val="111DE8E6"/>
    <w:rsid w:val="118EB0A4"/>
    <w:rsid w:val="12AAB07B"/>
    <w:rsid w:val="142405AE"/>
    <w:rsid w:val="165DA528"/>
    <w:rsid w:val="167493C5"/>
    <w:rsid w:val="16F1EC15"/>
    <w:rsid w:val="175BF86F"/>
    <w:rsid w:val="17BC0201"/>
    <w:rsid w:val="17F97589"/>
    <w:rsid w:val="18FC029C"/>
    <w:rsid w:val="1A6614F9"/>
    <w:rsid w:val="1A8C0002"/>
    <w:rsid w:val="1B245D61"/>
    <w:rsid w:val="1B60E00D"/>
    <w:rsid w:val="1BCBCE43"/>
    <w:rsid w:val="1C69F536"/>
    <w:rsid w:val="1CC4F926"/>
    <w:rsid w:val="1CCCBE73"/>
    <w:rsid w:val="1E229865"/>
    <w:rsid w:val="1E60C987"/>
    <w:rsid w:val="1FFC99E8"/>
    <w:rsid w:val="21C9A1F7"/>
    <w:rsid w:val="234B5F7F"/>
    <w:rsid w:val="260AAF51"/>
    <w:rsid w:val="261EBA06"/>
    <w:rsid w:val="26C7B9C7"/>
    <w:rsid w:val="2797EA97"/>
    <w:rsid w:val="28BD4C14"/>
    <w:rsid w:val="29DF0299"/>
    <w:rsid w:val="2A13BE4D"/>
    <w:rsid w:val="2A6DB890"/>
    <w:rsid w:val="2B5D8CA0"/>
    <w:rsid w:val="2BAF8EAE"/>
    <w:rsid w:val="2BDE0096"/>
    <w:rsid w:val="2C0F3E34"/>
    <w:rsid w:val="2C1AE969"/>
    <w:rsid w:val="2CCAE45D"/>
    <w:rsid w:val="2D631744"/>
    <w:rsid w:val="2D9AB5A9"/>
    <w:rsid w:val="2DC1FAA7"/>
    <w:rsid w:val="2EB54D60"/>
    <w:rsid w:val="2F1693AB"/>
    <w:rsid w:val="2F49B24F"/>
    <w:rsid w:val="31CBDEFB"/>
    <w:rsid w:val="323C3E0B"/>
    <w:rsid w:val="32930DEA"/>
    <w:rsid w:val="32A08C00"/>
    <w:rsid w:val="32E414B1"/>
    <w:rsid w:val="3455D758"/>
    <w:rsid w:val="34DB3832"/>
    <w:rsid w:val="36B3F4C7"/>
    <w:rsid w:val="371001B0"/>
    <w:rsid w:val="399B0FAB"/>
    <w:rsid w:val="3A53AECC"/>
    <w:rsid w:val="3B36CD67"/>
    <w:rsid w:val="3BC62B10"/>
    <w:rsid w:val="3C7B1DE1"/>
    <w:rsid w:val="3E2C1A13"/>
    <w:rsid w:val="3F55CE47"/>
    <w:rsid w:val="42A739F9"/>
    <w:rsid w:val="42FE7B57"/>
    <w:rsid w:val="43273A09"/>
    <w:rsid w:val="4394FC89"/>
    <w:rsid w:val="440B3FF3"/>
    <w:rsid w:val="44C6F805"/>
    <w:rsid w:val="45640222"/>
    <w:rsid w:val="45F128E1"/>
    <w:rsid w:val="45FF2DB5"/>
    <w:rsid w:val="460B0762"/>
    <w:rsid w:val="46D9A230"/>
    <w:rsid w:val="4730693B"/>
    <w:rsid w:val="47765749"/>
    <w:rsid w:val="48261EFE"/>
    <w:rsid w:val="484E5A70"/>
    <w:rsid w:val="489F0403"/>
    <w:rsid w:val="48ECA4A6"/>
    <w:rsid w:val="49716785"/>
    <w:rsid w:val="51124A46"/>
    <w:rsid w:val="521230B8"/>
    <w:rsid w:val="527FEDBD"/>
    <w:rsid w:val="52D48298"/>
    <w:rsid w:val="53236227"/>
    <w:rsid w:val="53E92301"/>
    <w:rsid w:val="5534CAFE"/>
    <w:rsid w:val="56D09B5F"/>
    <w:rsid w:val="570115EA"/>
    <w:rsid w:val="5767EE39"/>
    <w:rsid w:val="57E2913A"/>
    <w:rsid w:val="586C6BC0"/>
    <w:rsid w:val="59171CCF"/>
    <w:rsid w:val="5BA40C82"/>
    <w:rsid w:val="5DA81276"/>
    <w:rsid w:val="5E0E798D"/>
    <w:rsid w:val="5ED50B13"/>
    <w:rsid w:val="5EDBAD44"/>
    <w:rsid w:val="5FF051DB"/>
    <w:rsid w:val="617142D6"/>
    <w:rsid w:val="61C4D049"/>
    <w:rsid w:val="62A74094"/>
    <w:rsid w:val="632888A5"/>
    <w:rsid w:val="6354C7FE"/>
    <w:rsid w:val="652F896D"/>
    <w:rsid w:val="65591210"/>
    <w:rsid w:val="65765CFA"/>
    <w:rsid w:val="65D8A46B"/>
    <w:rsid w:val="666F041C"/>
    <w:rsid w:val="687111CE"/>
    <w:rsid w:val="68877695"/>
    <w:rsid w:val="6910783C"/>
    <w:rsid w:val="691B7FD1"/>
    <w:rsid w:val="697E523C"/>
    <w:rsid w:val="6B4B02D5"/>
    <w:rsid w:val="6BC11B8E"/>
    <w:rsid w:val="6CB4D26B"/>
    <w:rsid w:val="6CEF2569"/>
    <w:rsid w:val="6D7A232F"/>
    <w:rsid w:val="6DDC295F"/>
    <w:rsid w:val="6EFFF2A5"/>
    <w:rsid w:val="70BD0E54"/>
    <w:rsid w:val="712371C2"/>
    <w:rsid w:val="729EAC89"/>
    <w:rsid w:val="72BD6911"/>
    <w:rsid w:val="72BF4223"/>
    <w:rsid w:val="744DBD0E"/>
    <w:rsid w:val="77E84E49"/>
    <w:rsid w:val="795C63BC"/>
    <w:rsid w:val="7A011AE6"/>
    <w:rsid w:val="7A153535"/>
    <w:rsid w:val="7B3E5D77"/>
    <w:rsid w:val="7BE8140A"/>
    <w:rsid w:val="7CB6FE57"/>
    <w:rsid w:val="7D04D870"/>
    <w:rsid w:val="7D730FB9"/>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587079000">
      <w:bodyDiv w:val="1"/>
      <w:marLeft w:val="0"/>
      <w:marRight w:val="0"/>
      <w:marTop w:val="0"/>
      <w:marBottom w:val="0"/>
      <w:divBdr>
        <w:top w:val="none" w:sz="0" w:space="0" w:color="auto"/>
        <w:left w:val="none" w:sz="0" w:space="0" w:color="auto"/>
        <w:bottom w:val="none" w:sz="0" w:space="0" w:color="auto"/>
        <w:right w:val="none" w:sz="0" w:space="0" w:color="auto"/>
      </w:divBdr>
      <w:divsChild>
        <w:div w:id="176500700">
          <w:marLeft w:val="0"/>
          <w:marRight w:val="0"/>
          <w:marTop w:val="0"/>
          <w:marBottom w:val="0"/>
          <w:divBdr>
            <w:top w:val="none" w:sz="0" w:space="0" w:color="auto"/>
            <w:left w:val="none" w:sz="0" w:space="0" w:color="auto"/>
            <w:bottom w:val="none" w:sz="0" w:space="0" w:color="auto"/>
            <w:right w:val="none" w:sz="0" w:space="0" w:color="auto"/>
          </w:divBdr>
        </w:div>
        <w:div w:id="552153603">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848562018">
      <w:bodyDiv w:val="1"/>
      <w:marLeft w:val="0"/>
      <w:marRight w:val="0"/>
      <w:marTop w:val="0"/>
      <w:marBottom w:val="0"/>
      <w:divBdr>
        <w:top w:val="none" w:sz="0" w:space="0" w:color="auto"/>
        <w:left w:val="none" w:sz="0" w:space="0" w:color="auto"/>
        <w:bottom w:val="none" w:sz="0" w:space="0" w:color="auto"/>
        <w:right w:val="none" w:sz="0" w:space="0" w:color="auto"/>
      </w:divBdr>
      <w:divsChild>
        <w:div w:id="490173489">
          <w:marLeft w:val="0"/>
          <w:marRight w:val="0"/>
          <w:marTop w:val="0"/>
          <w:marBottom w:val="0"/>
          <w:divBdr>
            <w:top w:val="none" w:sz="0" w:space="0" w:color="auto"/>
            <w:left w:val="none" w:sz="0" w:space="0" w:color="auto"/>
            <w:bottom w:val="none" w:sz="0" w:space="0" w:color="auto"/>
            <w:right w:val="none" w:sz="0" w:space="0" w:color="auto"/>
          </w:divBdr>
        </w:div>
        <w:div w:id="373119367">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eader" Target="header1.xm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22" /><Relationship Type="http://schemas.openxmlformats.org/officeDocument/2006/relationships/hyperlink" Target="https://www.arborday.org/stories/a-tree-can-be-an-equalizer.cfm" TargetMode="External" Id="R96c2caaf4fe249fd" /><Relationship Type="http://schemas.openxmlformats.org/officeDocument/2006/relationships/hyperlink" Target="https://ctb.ku.edu/en/table-of-contents/assessment/assessing-community-needs-and-resources/conduct-concerns-surveys/main" TargetMode="External" Id="Rd8745dd4de2044e0" /><Relationship Type="http://schemas.openxmlformats.org/officeDocument/2006/relationships/hyperlink" Target="https://doi.org/10.1080/08941920.2018.1550229" TargetMode="External" Id="R8f06345f484648f0" /><Relationship Type="http://schemas.openxmlformats.org/officeDocument/2006/relationships/glossaryDocument" Target="glossary/document.xml" Id="R7ca4c28c2f1740b5" /><Relationship Type="http://schemas.openxmlformats.org/officeDocument/2006/relationships/hyperlink" Target="https://www.arborday.org/stories/a-tree-can-be-an-equalizer.cfm" TargetMode="External" Id="R73bf583531f94273" /><Relationship Type="http://schemas.openxmlformats.org/officeDocument/2006/relationships/hyperlink" Target="https://ctb.ku.edu/en/table-of-contents/assessment/assessing-community-needs-and-resources/conduct-concerns-surveys/main" TargetMode="External" Id="Rab3e03668b174521" /><Relationship Type="http://schemas.openxmlformats.org/officeDocument/2006/relationships/hyperlink" Target="https://www.sciencedirect.com/science/article/pii/S16188667230004" TargetMode="External" Id="R4e82c6ce1d794dae"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6fc76f32-1b74-46f3-931a-fd09188a9dd8}"/>
      </w:docPartPr>
      <w:docPartBody>
        <w:p xmlns:wp14="http://schemas.microsoft.com/office/word/2010/wordml" w14:paraId="6F4037BF"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E93E1BF7-8B89-4E41-8125-4E96767B317B}">
  <ds:schemaRefs>
    <ds:schemaRef ds:uri="http://purl.org/dc/terms/"/>
    <ds:schemaRef ds:uri="http://purl.org/dc/dcmitype/"/>
    <ds:schemaRef ds:uri="http://schemas.microsoft.com/office/2006/documentManagement/types"/>
    <ds:schemaRef ds:uri="7a12b634-940b-4d96-9c54-fcdcacdad810"/>
    <ds:schemaRef ds:uri="http://schemas.openxmlformats.org/package/2006/metadata/core-properties"/>
    <ds:schemaRef ds:uri="http://purl.org/dc/elements/1.1/"/>
    <ds:schemaRef ds:uri="http://www.w3.org/XML/1998/namespace"/>
    <ds:schemaRef ds:uri="http://schemas.microsoft.com/office/infopath/2007/PartnerControls"/>
    <ds:schemaRef ds:uri="5888fc64-4fc7-4ce5-9021-c38539a81fbe"/>
    <ds:schemaRef ds:uri="http://schemas.microsoft.com/office/2006/metadata/propertie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40</revision>
  <lastPrinted>2024-04-22T17:49:00.0000000Z</lastPrinted>
  <dcterms:created xsi:type="dcterms:W3CDTF">2024-04-19T23:58:00.0000000Z</dcterms:created>
  <dcterms:modified xsi:type="dcterms:W3CDTF">2024-06-13T14:59:10.6818476Z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