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2D2A84C9" w:rsidRDefault="53E92301" w14:paraId="251C038C" w14:textId="7C0A92BF">
      <w:pPr>
        <w:pStyle w:val="Normal"/>
        <w:rPr>
          <w:rFonts w:ascii="Arial" w:hAnsi="Arial" w:eastAsia="Times New Roman" w:cs="Arial"/>
          <w:b w:val="1"/>
          <w:bCs w:val="1"/>
          <w:color w:val="237D12" w:themeColor="text2"/>
          <w:sz w:val="48"/>
          <w:szCs w:val="48"/>
        </w:rPr>
      </w:pPr>
      <w:r w:rsidRPr="2D2A84C9" w:rsidR="53E92301">
        <w:rPr>
          <w:rFonts w:ascii="Arial" w:hAnsi="Arial" w:eastAsia="Times New Roman" w:cs="Arial"/>
          <w:b w:val="1"/>
          <w:bCs w:val="1"/>
          <w:color w:val="227C12"/>
          <w:sz w:val="48"/>
          <w:szCs w:val="48"/>
        </w:rPr>
        <w:t>Insights and Considerations Learned from Workshop Participants</w:t>
      </w:r>
      <w:r w:rsidRPr="2D2A84C9" w:rsidR="1D29DC1E">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r w:rsidRPr="2D2A84C9" w:rsidR="6354C7FE">
        <w:rPr>
          <w:rFonts w:ascii="Arial" w:hAnsi="Arial" w:eastAsia="Times New Roman" w:cs="Arial"/>
          <w:b w:val="1"/>
          <w:bCs w:val="1"/>
          <w:color w:val="227C12"/>
          <w:sz w:val="48"/>
          <w:szCs w:val="48"/>
        </w:rPr>
        <w:t xml:space="preserve"> </w:t>
      </w:r>
    </w:p>
    <w:p w:rsidR="1A8C0002" w:rsidP="6EFFF2A5" w:rsidRDefault="1A8C0002" w14:paraId="330D1656" w14:textId="1D7431CA">
      <w:r w:rsidRPr="0BD33224" w:rsidR="1A8C0002">
        <w:rPr>
          <w:rFonts w:ascii="Arial" w:hAnsi="Arial" w:eastAsia="Times New Roman" w:cs="Arial"/>
          <w:b w:val="1"/>
          <w:bCs w:val="1"/>
          <w:color w:val="237D12" w:themeColor="text2" w:themeTint="FF" w:themeShade="FF"/>
          <w:sz w:val="32"/>
          <w:szCs w:val="32"/>
        </w:rPr>
        <w:t>Methods of Communication</w:t>
      </w:r>
    </w:p>
    <w:p w:rsidR="152D1F17" w:rsidP="0BD33224" w:rsidRDefault="152D1F17" w14:paraId="492CA662" w14:textId="7805D31C">
      <w:pPr>
        <w:pStyle w:val="Normal"/>
        <w:rPr>
          <w:rFonts w:ascii="Arial" w:hAnsi="Arial" w:eastAsia="Times New Roman" w:cs="Arial"/>
          <w:b w:val="1"/>
          <w:bCs w:val="1"/>
          <w:color w:val="237D12" w:themeColor="text2" w:themeTint="FF" w:themeShade="FF"/>
          <w:sz w:val="32"/>
          <w:szCs w:val="32"/>
        </w:rPr>
      </w:pPr>
      <w:r w:rsidRPr="0BD33224" w:rsidR="152D1F17">
        <w:rPr>
          <w:rFonts w:ascii="Arial" w:hAnsi="Arial" w:eastAsia="Times New Roman" w:cs="Arial"/>
          <w:b w:val="1"/>
          <w:bCs w:val="1"/>
          <w:color w:val="237D12" w:themeColor="text2" w:themeTint="FF" w:themeShade="FF"/>
          <w:sz w:val="22"/>
          <w:szCs w:val="22"/>
        </w:rPr>
        <w:t>2024</w:t>
      </w:r>
    </w:p>
    <w:p w:rsidR="0BD33224" w:rsidP="0BD33224" w:rsidRDefault="0BD33224" w14:paraId="73CDC77B" w14:textId="71AEC0E0">
      <w:pPr>
        <w:rPr>
          <w:rFonts w:ascii="Arial" w:hAnsi="Arial" w:eastAsia="Arial" w:cs="Arial"/>
          <w:b w:val="1"/>
          <w:bCs w:val="1"/>
          <w:color w:val="237D12" w:themeColor="text2" w:themeTint="FF" w:themeShade="FF"/>
          <w:sz w:val="22"/>
          <w:szCs w:val="22"/>
        </w:rPr>
      </w:pPr>
    </w:p>
    <w:p w:rsidRPr="006C5A53" w:rsidR="45F128E1" w:rsidP="0BD33224" w:rsidRDefault="45F128E1" w14:paraId="6E7F41EA" w14:textId="2A0E1E36">
      <w:pPr>
        <w:rPr>
          <w:rFonts w:ascii="Arial" w:hAnsi="Arial" w:eastAsia="Arial" w:cs="Arial"/>
          <w:b w:val="1"/>
          <w:bCs w:val="1"/>
          <w:color w:val="237D12" w:themeColor="text2"/>
          <w:sz w:val="28"/>
          <w:szCs w:val="28"/>
        </w:rPr>
      </w:pPr>
      <w:r w:rsidRPr="0BD33224" w:rsidR="45F128E1">
        <w:rPr>
          <w:rFonts w:ascii="Arial" w:hAnsi="Arial" w:eastAsia="Arial" w:cs="Arial"/>
          <w:b w:val="1"/>
          <w:bCs w:val="1"/>
          <w:color w:val="237D12" w:themeColor="text2" w:themeTint="FF" w:themeShade="FF"/>
          <w:sz w:val="22"/>
          <w:szCs w:val="22"/>
        </w:rPr>
        <w:t>Workshop Description</w:t>
      </w:r>
    </w:p>
    <w:p w:rsidRPr="00996045" w:rsidR="70BD0E54" w:rsidP="0BD33224" w:rsidRDefault="70BD0E54" w14:paraId="090B9CF4" w14:textId="0957ED8F">
      <w:pPr>
        <w:pStyle w:val="Normal"/>
        <w:spacing w:after="0"/>
        <w:rPr>
          <w:rFonts w:ascii="Calibri" w:hAnsi="Calibri" w:eastAsia="Calibri" w:cs="Calibri"/>
          <w:b w:val="0"/>
          <w:bCs w:val="0"/>
          <w:color w:val="000000"/>
        </w:rPr>
      </w:pPr>
      <w:r w:rsidRPr="0BD33224" w:rsidR="70BD0E54">
        <w:rPr>
          <w:rFonts w:ascii="Calibri" w:hAnsi="Calibri" w:eastAsia="Calibri" w:cs="Calibri"/>
          <w:b w:val="0"/>
          <w:bCs w:val="0"/>
          <w:color w:val="000000"/>
        </w:rPr>
        <w:t>We asked participants about the methods of communication used to inform communities about initiatives and how these methods are relevant to urban forestry initiatives</w:t>
      </w:r>
      <w:r w:rsidRPr="0BD33224" w:rsidR="70BD0E54">
        <w:rPr>
          <w:rFonts w:ascii="Calibri" w:hAnsi="Calibri" w:eastAsia="Calibri" w:cs="Calibri"/>
          <w:b w:val="0"/>
          <w:bCs w:val="0"/>
          <w:color w:val="000000"/>
        </w:rPr>
        <w:t>.</w:t>
      </w:r>
      <w:r w:rsidRPr="0BD33224" w:rsidR="147E55A2">
        <w:rPr>
          <w:rFonts w:ascii="Calibri" w:hAnsi="Calibri" w:eastAsia="Calibri" w:cs="Calibri"/>
          <w:b w:val="0"/>
          <w:bCs w:val="0"/>
          <w:color w:val="000000"/>
        </w:rPr>
        <w:t xml:space="preserve">  </w:t>
      </w:r>
      <w:r w:rsidRPr="0BD33224" w:rsidR="70BD0E54">
        <w:rPr>
          <w:rFonts w:ascii="Calibri" w:hAnsi="Calibri" w:eastAsia="Calibri" w:cs="Calibri"/>
          <w:b w:val="0"/>
          <w:bCs w:val="0"/>
          <w:color w:val="000000"/>
        </w:rPr>
        <w:t xml:space="preserve">These methods were </w:t>
      </w:r>
      <w:r w:rsidRPr="0BD33224" w:rsidR="70BD0E54">
        <w:rPr>
          <w:rFonts w:ascii="Calibri" w:hAnsi="Calibri" w:eastAsia="Calibri" w:cs="Calibri"/>
          <w:b w:val="0"/>
          <w:bCs w:val="0"/>
          <w:color w:val="000000"/>
        </w:rPr>
        <w:t>identified</w:t>
      </w:r>
      <w:r w:rsidRPr="0BD33224" w:rsidR="70BD0E54">
        <w:rPr>
          <w:rFonts w:ascii="Calibri" w:hAnsi="Calibri" w:eastAsia="Calibri" w:cs="Calibri"/>
          <w:b w:val="0"/>
          <w:bCs w:val="0"/>
          <w:color w:val="000000"/>
        </w:rPr>
        <w:t xml:space="preserve"> through all five sets of workshops. More specific hesitancies from specific communities are </w:t>
      </w:r>
      <w:r w:rsidRPr="0BD33224" w:rsidR="70BD0E54">
        <w:rPr>
          <w:rFonts w:ascii="Calibri" w:hAnsi="Calibri" w:eastAsia="Calibri" w:cs="Calibri"/>
          <w:b w:val="0"/>
          <w:bCs w:val="0"/>
          <w:color w:val="000000"/>
        </w:rPr>
        <w:t>identified</w:t>
      </w:r>
      <w:r w:rsidRPr="0BD33224" w:rsidR="70BD0E54">
        <w:rPr>
          <w:rFonts w:ascii="Calibri" w:hAnsi="Calibri" w:eastAsia="Calibri" w:cs="Calibri"/>
          <w:b w:val="0"/>
          <w:bCs w:val="0"/>
          <w:color w:val="000000"/>
        </w:rPr>
        <w:t xml:space="preserve">, as well. While these insights can provide guidance concerning engaging with specific communities, we recognize the limitation that a set of workshops is only a small </w:t>
      </w:r>
      <w:r w:rsidRPr="0BD33224" w:rsidR="70BD0E54">
        <w:rPr>
          <w:rFonts w:ascii="Calibri" w:hAnsi="Calibri" w:eastAsia="Calibri" w:cs="Calibri"/>
          <w:b w:val="0"/>
          <w:bCs w:val="0"/>
          <w:color w:val="000000"/>
        </w:rPr>
        <w:t>component</w:t>
      </w:r>
      <w:r w:rsidRPr="0BD33224" w:rsidR="70BD0E54">
        <w:rPr>
          <w:rFonts w:ascii="Calibri" w:hAnsi="Calibri" w:eastAsia="Calibri" w:cs="Calibri"/>
          <w:b w:val="0"/>
          <w:bCs w:val="0"/>
          <w:color w:val="000000"/>
        </w:rPr>
        <w:t xml:space="preserve"> of best practices in community engagement. </w:t>
      </w:r>
    </w:p>
    <w:p w:rsidR="0BD33224" w:rsidP="0BD33224" w:rsidRDefault="0BD33224" w14:paraId="0D81D23D" w14:textId="7B033BBA">
      <w:pPr>
        <w:pStyle w:val="Normal"/>
        <w:spacing w:after="0"/>
        <w:rPr>
          <w:rFonts w:ascii="Calibri" w:hAnsi="Calibri" w:eastAsia="Calibri" w:cs="Calibri"/>
          <w:b w:val="0"/>
          <w:bCs w:val="0"/>
          <w:color w:val="000000"/>
        </w:rPr>
      </w:pPr>
    </w:p>
    <w:p w:rsidR="75E8777E" w:rsidP="0BD33224" w:rsidRDefault="75E8777E" w14:paraId="634B645C" w14:textId="06F4458B">
      <w:pPr>
        <w:pStyle w:val="Normal"/>
        <w:rPr>
          <w:rFonts w:ascii="Arial" w:hAnsi="Arial" w:eastAsia="Arial" w:cs="Arial"/>
          <w:b w:val="1"/>
          <w:bCs w:val="1"/>
          <w:color w:val="237D12" w:themeColor="text2" w:themeTint="FF" w:themeShade="FF"/>
          <w:sz w:val="28"/>
          <w:szCs w:val="28"/>
        </w:rPr>
      </w:pPr>
      <w:r w:rsidRPr="0BD33224" w:rsidR="75E8777E">
        <w:rPr>
          <w:rFonts w:ascii="Arial" w:hAnsi="Arial" w:eastAsia="Arial" w:cs="Arial"/>
          <w:b w:val="1"/>
          <w:bCs w:val="1"/>
          <w:color w:val="237D12" w:themeColor="text2" w:themeTint="FF" w:themeShade="FF"/>
          <w:sz w:val="22"/>
          <w:szCs w:val="22"/>
        </w:rPr>
        <w:t>Considerations and Insights</w:t>
      </w:r>
    </w:p>
    <w:p w:rsidR="6DA30243" w:rsidP="0BD33224" w:rsidRDefault="6DA30243" w14:paraId="05AB4A12" w14:textId="61F76347">
      <w:pPr>
        <w:pStyle w:val="Normal"/>
        <w:spacing w:after="0"/>
        <w:rPr>
          <w:rFonts w:ascii="Calibri" w:hAnsi="Calibri" w:eastAsia="Calibri" w:cs="Calibri"/>
          <w:b w:val="0"/>
          <w:bCs w:val="0"/>
          <w:color w:val="000000"/>
        </w:rPr>
      </w:pPr>
      <w:r w:rsidRPr="0BD33224" w:rsidR="6DA30243">
        <w:rPr>
          <w:rFonts w:ascii="Arial" w:hAnsi="Arial" w:eastAsia="Arial" w:cs="Arial"/>
          <w:b w:val="1"/>
          <w:bCs w:val="1"/>
          <w:i w:val="1"/>
          <w:iCs w:val="1"/>
          <w:color w:val="000000"/>
          <w:u w:val="single"/>
        </w:rPr>
        <w:t>General</w:t>
      </w:r>
    </w:p>
    <w:p w:rsidR="70BD0E54" w:rsidP="003972A8" w:rsidRDefault="70BD0E54" w14:paraId="7994B360" w14:textId="1624FB77">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Digital Engagement Methods</w:t>
      </w:r>
    </w:p>
    <w:p w:rsidR="70BD0E54" w:rsidP="003972A8" w:rsidRDefault="70BD0E54" w14:paraId="3C94F64A" w14:textId="0D03B20D">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Utilizing WhatsApp for group chats and voice notes in multiple languages.</w:t>
      </w:r>
    </w:p>
    <w:p w:rsidR="70BD0E54" w:rsidP="003972A8" w:rsidRDefault="70BD0E54" w14:paraId="6D83961A" w14:textId="45763A53">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Leveraging social media platforms like Facebook, LinkedIn, and Instagram for outreach.</w:t>
      </w:r>
    </w:p>
    <w:p w:rsidR="70BD0E54" w:rsidP="003972A8" w:rsidRDefault="70BD0E54" w14:paraId="444B9D24" w14:textId="4F97DAEB">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Sending newsletters from nonprofits to disseminate information.</w:t>
      </w:r>
    </w:p>
    <w:p w:rsidR="70BD0E54" w:rsidP="003972A8" w:rsidRDefault="70BD0E54" w14:paraId="15FBE814" w14:textId="612348FB">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In-Person Outreach Strategies</w:t>
      </w:r>
    </w:p>
    <w:p w:rsidR="70BD0E54" w:rsidP="003972A8" w:rsidRDefault="70BD0E54" w14:paraId="57A3FF9D" w14:textId="3E419E5C">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Conducting presentations and setting up information booths at local venues and markets.</w:t>
      </w:r>
    </w:p>
    <w:p w:rsidR="70BD0E54" w:rsidP="003972A8" w:rsidRDefault="70BD0E54" w14:paraId="37219F48" w14:textId="0E7EB65B">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Door-to-door canvassing with multilingual content.</w:t>
      </w:r>
    </w:p>
    <w:p w:rsidR="70BD0E54" w:rsidP="003972A8" w:rsidRDefault="70BD0E54" w14:paraId="060D9385" w14:textId="1DD34E11">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Engaging well-trained staff during community events for direct interactions.</w:t>
      </w:r>
    </w:p>
    <w:p w:rsidR="70BD0E54" w:rsidP="003972A8" w:rsidRDefault="70BD0E54" w14:paraId="34EC73E8" w14:textId="7715DB7C">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Print Communication</w:t>
      </w:r>
    </w:p>
    <w:p w:rsidR="70BD0E54" w:rsidP="003972A8" w:rsidRDefault="70BD0E54" w14:paraId="43C2FC69" w14:textId="562D8219">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Leveraging local newspapers, environmentally focused publications, and mailers.</w:t>
      </w:r>
    </w:p>
    <w:p w:rsidR="70BD0E54" w:rsidP="003972A8" w:rsidRDefault="70BD0E54" w14:paraId="02C0F0FF" w14:textId="788FE998">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Inclusion of information in commonly received items like utility bill mailings to reach a wide audience.</w:t>
      </w:r>
    </w:p>
    <w:p w:rsidR="70BD0E54" w:rsidP="003972A8" w:rsidRDefault="70BD0E54" w14:paraId="6D7F0A47" w14:textId="00DD4E2A">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Diverse Engagement Layers</w:t>
      </w:r>
    </w:p>
    <w:p w:rsidR="70BD0E54" w:rsidP="003972A8" w:rsidRDefault="70BD0E54" w14:paraId="57C45E2D" w14:textId="08B5A0C3">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Recognizing the necessity for multiple layers of engagement for deeper community involvement.</w:t>
      </w:r>
    </w:p>
    <w:p w:rsidR="70BD0E54" w:rsidP="003972A8" w:rsidRDefault="70BD0E54" w14:paraId="53EF3DF3" w14:textId="61E2A1DD">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Acknowledging the varying cost and resource intensiveness of different outreach methods.</w:t>
      </w:r>
    </w:p>
    <w:p w:rsidR="70BD0E54" w:rsidP="003972A8" w:rsidRDefault="70BD0E54" w14:paraId="2A232902" w14:textId="4521E37D">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Community Engagement Channels</w:t>
      </w:r>
    </w:p>
    <w:p w:rsidR="70BD0E54" w:rsidP="003972A8" w:rsidRDefault="70BD0E54" w14:paraId="3AD22C74" w14:textId="00544DBE">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Utilizing a variety of traditional and modern communication channels, including social media, physical media, and word of mouth.</w:t>
      </w:r>
    </w:p>
    <w:p w:rsidR="70BD0E54" w:rsidP="003972A8" w:rsidRDefault="70BD0E54" w14:paraId="643B1BDB" w14:textId="08D4E80D">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Emphasizing the importance of targeting messages to specific demographics and using trusted community connectors.</w:t>
      </w:r>
    </w:p>
    <w:p w:rsidR="70BD0E54" w:rsidP="003972A8" w:rsidRDefault="70BD0E54" w14:paraId="6C12CBF8" w14:textId="5C2C2AFA">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Cultural and Linguistic Considerations</w:t>
      </w:r>
    </w:p>
    <w:p w:rsidR="70BD0E54" w:rsidP="003972A8" w:rsidRDefault="70BD0E54" w14:paraId="6B03CF9B" w14:textId="4D87D782">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Addressing language barriers and cultural differences in outreach materials.</w:t>
      </w:r>
    </w:p>
    <w:p w:rsidR="70BD0E54" w:rsidP="003972A8" w:rsidRDefault="70BD0E54" w14:paraId="161C26B2" w14:textId="5B6B03D6">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Ensuring inclusivity and accessibility in toolkit languages for diverse immigrant and refugee populations.</w:t>
      </w:r>
    </w:p>
    <w:p w:rsidR="70BD0E54" w:rsidP="003972A8" w:rsidRDefault="70BD0E54" w14:paraId="69C3D793" w14:textId="1FFF61A8">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Successful Initiatives and Lessons Learned</w:t>
      </w:r>
    </w:p>
    <w:p w:rsidR="70BD0E54" w:rsidP="003972A8" w:rsidRDefault="70BD0E54" w14:paraId="1F087A2B" w14:textId="4D43DE4D">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Ensuring an iterative process that constantly attempts to get better. Emphasizing the need for diverse engagement strategies tailored to different generations and communities.</w:t>
      </w:r>
    </w:p>
    <w:p w:rsidRPr="00996045" w:rsidR="6EFFF2A5" w:rsidP="0BD33224" w:rsidRDefault="6EFFF2A5" w14:paraId="45542CA7" w14:textId="1F0C39A7" w14:noSpellErr="1">
      <w:pPr>
        <w:rPr>
          <w:rFonts w:ascii="Arial" w:hAnsi="Arial" w:eastAsia="Arial" w:cs="Arial"/>
          <w:i w:val="1"/>
          <w:iCs w:val="1"/>
          <w:color w:val="000000"/>
          <w:u w:val="single"/>
        </w:rPr>
      </w:pPr>
    </w:p>
    <w:p w:rsidRPr="00996045" w:rsidR="70BD0E54" w:rsidP="506D5FB5" w:rsidRDefault="70BD0E54" w14:paraId="50BDBE58" w14:textId="529A044B">
      <w:pPr>
        <w:rPr>
          <w:rFonts w:ascii="Arial" w:hAnsi="Arial" w:eastAsia="Arial" w:cs="Arial"/>
          <w:b w:val="1"/>
          <w:bCs w:val="1"/>
          <w:i w:val="1"/>
          <w:iCs w:val="1"/>
          <w:color w:val="000000"/>
          <w:u w:val="single"/>
        </w:rPr>
      </w:pPr>
      <w:r w:rsidRPr="506D5FB5" w:rsidR="70BD0E54">
        <w:rPr>
          <w:rFonts w:ascii="Arial" w:hAnsi="Arial" w:eastAsia="Arial" w:cs="Arial"/>
          <w:b w:val="1"/>
          <w:bCs w:val="1"/>
          <w:i w:val="1"/>
          <w:iCs w:val="1"/>
          <w:color w:val="000000"/>
          <w:u w:val="single"/>
        </w:rPr>
        <w:t>Indigenous Participant</w:t>
      </w:r>
      <w:r w:rsidRPr="506D5FB5" w:rsidR="53324E5D">
        <w:rPr>
          <w:rFonts w:ascii="Arial" w:hAnsi="Arial" w:eastAsia="Arial" w:cs="Arial"/>
          <w:b w:val="1"/>
          <w:bCs w:val="1"/>
          <w:i w:val="1"/>
          <w:iCs w:val="1"/>
          <w:color w:val="000000"/>
          <w:u w:val="single"/>
        </w:rPr>
        <w:t xml:space="preserve"> Insights</w:t>
      </w:r>
    </w:p>
    <w:p w:rsidR="70BD0E54" w:rsidP="003972A8" w:rsidRDefault="70BD0E54" w14:paraId="108B0EEA" w14:textId="0A39117E">
      <w:pPr>
        <w:pStyle w:val="ListParagraph"/>
        <w:numPr>
          <w:ilvl w:val="0"/>
          <w:numId w:val="1"/>
        </w:numPr>
        <w:spacing w:before="240" w:after="240"/>
        <w:rPr>
          <w:rFonts w:ascii="Calibri" w:hAnsi="Calibri" w:eastAsia="Calibri" w:cs="Calibri"/>
          <w:color w:val="000000"/>
        </w:rPr>
      </w:pPr>
      <w:r w:rsidRPr="6EFFF2A5">
        <w:rPr>
          <w:rFonts w:ascii="Calibri" w:hAnsi="Calibri" w:eastAsia="Calibri" w:cs="Calibri"/>
          <w:b/>
          <w:bCs/>
          <w:color w:val="000000"/>
        </w:rPr>
        <w:t>Social Media as Key Communication Channel</w:t>
      </w:r>
      <w:r w:rsidRPr="6EFFF2A5">
        <w:rPr>
          <w:rFonts w:ascii="Calibri" w:hAnsi="Calibri" w:eastAsia="Calibri" w:cs="Calibri"/>
          <w:color w:val="000000"/>
        </w:rPr>
        <w:t>:</w:t>
      </w:r>
    </w:p>
    <w:p w:rsidR="70BD0E54" w:rsidP="003972A8" w:rsidRDefault="70BD0E54" w14:paraId="24CC66A0" w14:textId="0FF802BE">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Social media, particularly platforms like Facebook, TikTok, and Instagram, play a central role in communication within communities.</w:t>
      </w:r>
    </w:p>
    <w:p w:rsidR="70BD0E54" w:rsidP="003972A8" w:rsidRDefault="70BD0E54" w14:paraId="30F7D588" w14:textId="353F9CCA">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Tribal groups often maintain Facebook pages with large memberships, where important information is shared.</w:t>
      </w:r>
    </w:p>
    <w:p w:rsidR="70BD0E54" w:rsidP="003972A8" w:rsidRDefault="70BD0E54" w14:paraId="3F409650" w14:textId="10259818">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Generational preferences influence platform usage, with older demographics favoring Facebook while younger generations prefer TikTok and Instagram.</w:t>
      </w:r>
    </w:p>
    <w:p w:rsidR="70BD0E54" w:rsidP="003972A8" w:rsidRDefault="70BD0E54" w14:paraId="525E1F50" w14:textId="6D71134F">
      <w:pPr>
        <w:pStyle w:val="ListParagraph"/>
        <w:numPr>
          <w:ilvl w:val="0"/>
          <w:numId w:val="1"/>
        </w:numPr>
        <w:spacing w:before="240" w:after="240"/>
        <w:rPr>
          <w:rFonts w:ascii="Calibri" w:hAnsi="Calibri" w:eastAsia="Calibri" w:cs="Calibri"/>
          <w:color w:val="000000"/>
        </w:rPr>
      </w:pPr>
      <w:r w:rsidRPr="6EFFF2A5">
        <w:rPr>
          <w:rFonts w:ascii="Calibri" w:hAnsi="Calibri" w:eastAsia="Calibri" w:cs="Calibri"/>
          <w:b/>
          <w:bCs/>
          <w:color w:val="000000"/>
        </w:rPr>
        <w:t>Offline Communication</w:t>
      </w:r>
      <w:r w:rsidRPr="6EFFF2A5">
        <w:rPr>
          <w:rFonts w:ascii="Calibri" w:hAnsi="Calibri" w:eastAsia="Calibri" w:cs="Calibri"/>
          <w:color w:val="000000"/>
        </w:rPr>
        <w:t>:</w:t>
      </w:r>
    </w:p>
    <w:p w:rsidR="70BD0E54" w:rsidP="003972A8" w:rsidRDefault="70BD0E54" w14:paraId="71FD4B35" w14:textId="3DDAB853">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 xml:space="preserve">Recognizing the limitations of relying solely on social media algorithms, alternative methods like text messages, personal outreach, and community apps like </w:t>
      </w:r>
      <w:proofErr w:type="spellStart"/>
      <w:r w:rsidRPr="6EFFF2A5">
        <w:rPr>
          <w:rFonts w:ascii="Calibri" w:hAnsi="Calibri" w:eastAsia="Calibri" w:cs="Calibri"/>
          <w:color w:val="000000"/>
        </w:rPr>
        <w:t>Nextdoor</w:t>
      </w:r>
      <w:proofErr w:type="spellEnd"/>
      <w:r w:rsidRPr="6EFFF2A5">
        <w:rPr>
          <w:rFonts w:ascii="Calibri" w:hAnsi="Calibri" w:eastAsia="Calibri" w:cs="Calibri"/>
          <w:color w:val="000000"/>
        </w:rPr>
        <w:t xml:space="preserve"> are utilized.</w:t>
      </w:r>
    </w:p>
    <w:p w:rsidR="70BD0E54" w:rsidP="003972A8" w:rsidRDefault="70BD0E54" w14:paraId="2D2BF8CF" w14:textId="4BD17166">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Personal networks and face-to-face interactions remain crucial for effective communication, especially for engaging with policymakers or conveying specific messages.</w:t>
      </w:r>
    </w:p>
    <w:p w:rsidR="70BD0E54" w:rsidP="003972A8" w:rsidRDefault="70BD0E54" w14:paraId="11BC3200" w14:textId="215E2EE1">
      <w:pPr>
        <w:pStyle w:val="ListParagraph"/>
        <w:numPr>
          <w:ilvl w:val="0"/>
          <w:numId w:val="1"/>
        </w:numPr>
        <w:spacing w:before="240" w:after="240"/>
        <w:rPr>
          <w:rFonts w:ascii="Calibri" w:hAnsi="Calibri" w:eastAsia="Calibri" w:cs="Calibri"/>
          <w:color w:val="000000"/>
        </w:rPr>
      </w:pPr>
      <w:r w:rsidRPr="6EFFF2A5">
        <w:rPr>
          <w:rFonts w:ascii="Calibri" w:hAnsi="Calibri" w:eastAsia="Calibri" w:cs="Calibri"/>
          <w:b/>
          <w:bCs/>
          <w:color w:val="000000"/>
        </w:rPr>
        <w:t>Local Initiatives and Cultural Preservation</w:t>
      </w:r>
      <w:r w:rsidRPr="6EFFF2A5">
        <w:rPr>
          <w:rFonts w:ascii="Calibri" w:hAnsi="Calibri" w:eastAsia="Calibri" w:cs="Calibri"/>
          <w:color w:val="000000"/>
        </w:rPr>
        <w:t>:</w:t>
      </w:r>
    </w:p>
    <w:p w:rsidR="70BD0E54" w:rsidP="003972A8" w:rsidRDefault="70BD0E54" w14:paraId="0C98DCE6" w14:textId="763383FF">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Successful initiatives, such as those in Hawaii, focus on cultural preservation and community engagement through innovative projects like local clothing production, creation of Hawaiian chants, and themed events celebrating local ecosystems.</w:t>
      </w:r>
    </w:p>
    <w:p w:rsidR="70BD0E54" w:rsidP="003972A8" w:rsidRDefault="70BD0E54" w14:paraId="7248A7AE" w14:textId="7A67C574">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These initiatives bring together various stakeholders, including politicians, nonprofits, and schools, to promote community awareness and participation.</w:t>
      </w:r>
    </w:p>
    <w:p w:rsidR="70BD0E54" w:rsidP="003972A8" w:rsidRDefault="70BD0E54" w14:paraId="49307B67" w14:textId="7FABF471">
      <w:pPr>
        <w:pStyle w:val="ListParagraph"/>
        <w:numPr>
          <w:ilvl w:val="0"/>
          <w:numId w:val="1"/>
        </w:numPr>
        <w:spacing w:before="240" w:after="240"/>
        <w:rPr>
          <w:rFonts w:ascii="Calibri" w:hAnsi="Calibri" w:eastAsia="Calibri" w:cs="Calibri"/>
          <w:color w:val="000000"/>
        </w:rPr>
      </w:pPr>
      <w:r w:rsidRPr="6EFFF2A5">
        <w:rPr>
          <w:rFonts w:ascii="Calibri" w:hAnsi="Calibri" w:eastAsia="Calibri" w:cs="Calibri"/>
          <w:b/>
          <w:bCs/>
          <w:color w:val="000000"/>
        </w:rPr>
        <w:t>Addressing Language Barriers and Community Preferences</w:t>
      </w:r>
      <w:r w:rsidRPr="6EFFF2A5">
        <w:rPr>
          <w:rFonts w:ascii="Calibri" w:hAnsi="Calibri" w:eastAsia="Calibri" w:cs="Calibri"/>
          <w:color w:val="000000"/>
        </w:rPr>
        <w:t>:</w:t>
      </w:r>
    </w:p>
    <w:p w:rsidR="70BD0E54" w:rsidP="003972A8" w:rsidRDefault="70BD0E54" w14:paraId="322C0761" w14:textId="535B5865">
      <w:pPr>
        <w:pStyle w:val="ListParagraph"/>
        <w:numPr>
          <w:ilvl w:val="1"/>
          <w:numId w:val="1"/>
        </w:numPr>
        <w:spacing w:after="0"/>
        <w:rPr>
          <w:rFonts w:ascii="Calibri" w:hAnsi="Calibri" w:eastAsia="Calibri" w:cs="Calibri"/>
          <w:color w:val="000000"/>
        </w:rPr>
      </w:pPr>
      <w:r w:rsidRPr="506D5FB5" w:rsidR="70BD0E54">
        <w:rPr>
          <w:rFonts w:ascii="Calibri" w:hAnsi="Calibri" w:eastAsia="Calibri" w:cs="Calibri"/>
          <w:color w:val="000000"/>
        </w:rPr>
        <w:t xml:space="preserve">Understanding the importance of addressing language barriers in communication efforts, along with the need to adapt messaging strategies to suit the preferences and habits of diverse community members, contributes to the effectiveness of outreach </w:t>
      </w:r>
      <w:r w:rsidRPr="506D5FB5" w:rsidR="70BD0E54">
        <w:rPr>
          <w:rFonts w:ascii="Calibri" w:hAnsi="Calibri" w:eastAsia="Calibri" w:cs="Calibri"/>
          <w:color w:val="000000"/>
        </w:rPr>
        <w:t>efforts</w:t>
      </w:r>
    </w:p>
    <w:p w:rsidR="506D5FB5" w:rsidP="506D5FB5" w:rsidRDefault="506D5FB5" w14:paraId="3E8197F8" w14:textId="0521EC23">
      <w:pPr>
        <w:pStyle w:val="Normal"/>
        <w:spacing w:after="0"/>
        <w:rPr>
          <w:rFonts w:ascii="Calibri" w:hAnsi="Calibri" w:eastAsia="Calibri" w:cs="Calibri"/>
          <w:color w:val="000000"/>
        </w:rPr>
      </w:pPr>
    </w:p>
    <w:p w:rsidR="506D5FB5" w:rsidP="506D5FB5" w:rsidRDefault="506D5FB5" w14:paraId="523C7460" w14:textId="62F54D6E">
      <w:pPr>
        <w:pStyle w:val="Normal"/>
        <w:spacing w:after="0"/>
        <w:rPr>
          <w:rFonts w:ascii="Calibri" w:hAnsi="Calibri" w:eastAsia="Calibri" w:cs="Calibri"/>
          <w:color w:val="000000"/>
        </w:rPr>
      </w:pPr>
    </w:p>
    <w:p w:rsidR="506D5FB5" w:rsidP="506D5FB5" w:rsidRDefault="506D5FB5" w14:paraId="55ECCACE" w14:textId="6B350758">
      <w:pPr>
        <w:pStyle w:val="Normal"/>
        <w:spacing w:after="0"/>
        <w:rPr>
          <w:rFonts w:ascii="Calibri" w:hAnsi="Calibri" w:eastAsia="Calibri" w:cs="Calibri"/>
          <w:color w:val="000000"/>
        </w:rPr>
      </w:pPr>
    </w:p>
    <w:p w:rsidRPr="00996045" w:rsidR="70BD0E54" w:rsidP="506D5FB5" w:rsidRDefault="70BD0E54" w14:paraId="1C4D36D8" w14:textId="18211AF0">
      <w:pPr>
        <w:spacing w:before="300" w:after="300"/>
        <w:rPr>
          <w:rFonts w:ascii="Arial" w:hAnsi="Arial" w:eastAsia="Arial" w:cs="Arial"/>
          <w:b w:val="1"/>
          <w:bCs w:val="1"/>
          <w:i w:val="1"/>
          <w:iCs w:val="1"/>
          <w:color w:val="000000"/>
          <w:u w:val="single"/>
        </w:rPr>
      </w:pPr>
      <w:r w:rsidRPr="506D5FB5" w:rsidR="70BD0E54">
        <w:rPr>
          <w:rFonts w:ascii="Arial" w:hAnsi="Arial" w:eastAsia="Arial" w:cs="Arial"/>
          <w:b w:val="1"/>
          <w:bCs w:val="1"/>
          <w:i w:val="1"/>
          <w:iCs w:val="1"/>
          <w:color w:val="000000"/>
          <w:u w:val="single"/>
        </w:rPr>
        <w:t>African</w:t>
      </w:r>
      <w:r w:rsidRPr="506D5FB5" w:rsidR="65876A28">
        <w:rPr>
          <w:rFonts w:ascii="Arial" w:hAnsi="Arial" w:eastAsia="Arial" w:cs="Arial"/>
          <w:b w:val="1"/>
          <w:bCs w:val="1"/>
          <w:i w:val="1"/>
          <w:iCs w:val="1"/>
          <w:color w:val="000000"/>
          <w:u w:val="single"/>
        </w:rPr>
        <w:t xml:space="preserve"> </w:t>
      </w:r>
      <w:r w:rsidRPr="506D5FB5" w:rsidR="70BD0E54">
        <w:rPr>
          <w:rFonts w:ascii="Arial" w:hAnsi="Arial" w:eastAsia="Arial" w:cs="Arial"/>
          <w:b w:val="1"/>
          <w:bCs w:val="1"/>
          <w:i w:val="1"/>
          <w:iCs w:val="1"/>
          <w:color w:val="000000"/>
          <w:u w:val="single"/>
        </w:rPr>
        <w:t>American</w:t>
      </w:r>
      <w:r w:rsidRPr="506D5FB5" w:rsidR="03710DC3">
        <w:rPr>
          <w:rFonts w:ascii="Arial" w:hAnsi="Arial" w:eastAsia="Arial" w:cs="Arial"/>
          <w:b w:val="1"/>
          <w:bCs w:val="1"/>
          <w:i w:val="1"/>
          <w:iCs w:val="1"/>
          <w:color w:val="000000"/>
          <w:u w:val="single"/>
        </w:rPr>
        <w:t>/Black</w:t>
      </w:r>
      <w:r w:rsidRPr="506D5FB5" w:rsidR="70BD0E54">
        <w:rPr>
          <w:rFonts w:ascii="Arial" w:hAnsi="Arial" w:eastAsia="Arial" w:cs="Arial"/>
          <w:b w:val="1"/>
          <w:bCs w:val="1"/>
          <w:i w:val="1"/>
          <w:iCs w:val="1"/>
          <w:color w:val="000000"/>
          <w:u w:val="single"/>
        </w:rPr>
        <w:t xml:space="preserve"> Participant</w:t>
      </w:r>
      <w:r w:rsidRPr="506D5FB5" w:rsidR="5C6AEEE8">
        <w:rPr>
          <w:rFonts w:ascii="Arial" w:hAnsi="Arial" w:eastAsia="Arial" w:cs="Arial"/>
          <w:b w:val="1"/>
          <w:bCs w:val="1"/>
          <w:i w:val="1"/>
          <w:iCs w:val="1"/>
          <w:color w:val="000000"/>
          <w:u w:val="single"/>
        </w:rPr>
        <w:t xml:space="preserve"> Insights</w:t>
      </w:r>
    </w:p>
    <w:p w:rsidR="70BD0E54" w:rsidP="003972A8" w:rsidRDefault="70BD0E54" w14:paraId="464FB0A9" w14:textId="2A832051">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Diverse Communication Channels</w:t>
      </w:r>
    </w:p>
    <w:p w:rsidR="70BD0E54" w:rsidP="003972A8" w:rsidRDefault="70BD0E54" w14:paraId="14A14871" w14:textId="4DE30A29">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Utilization of various communication channels including social media, word of mouth, physical media, and newsletters/surveys to reach different segments of the community.</w:t>
      </w:r>
    </w:p>
    <w:p w:rsidR="70BD0E54" w:rsidP="003972A8" w:rsidRDefault="70BD0E54" w14:paraId="112579A4" w14:textId="5476DB06">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 xml:space="preserve">Meeting people where they are in terms of what type of media they are already engaging with regularly. </w:t>
      </w:r>
    </w:p>
    <w:p w:rsidRPr="0042407C" w:rsidR="0042407C" w:rsidP="0042407C" w:rsidRDefault="0042407C" w14:paraId="695BB5F9" w14:textId="77777777">
      <w:pPr>
        <w:pStyle w:val="ListParagraph"/>
        <w:spacing w:before="240" w:after="240"/>
        <w:rPr>
          <w:rFonts w:ascii="Calibri" w:hAnsi="Calibri" w:eastAsia="Calibri" w:cs="Calibri"/>
          <w:color w:val="000000"/>
        </w:rPr>
      </w:pPr>
    </w:p>
    <w:p w:rsidR="70BD0E54" w:rsidP="003972A8" w:rsidRDefault="70BD0E54" w14:paraId="7327D145" w14:textId="78A790FC">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Personalized Engagement</w:t>
      </w:r>
    </w:p>
    <w:p w:rsidR="70BD0E54" w:rsidP="003972A8" w:rsidRDefault="70BD0E54" w14:paraId="31E30D06" w14:textId="687DC03A">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 xml:space="preserve">Tailoring engagement </w:t>
      </w:r>
      <w:proofErr w:type="gramStart"/>
      <w:r w:rsidRPr="6EFFF2A5">
        <w:rPr>
          <w:rFonts w:ascii="Calibri" w:hAnsi="Calibri" w:eastAsia="Calibri" w:cs="Calibri"/>
          <w:color w:val="000000"/>
        </w:rPr>
        <w:t>approaches to</w:t>
      </w:r>
      <w:proofErr w:type="gramEnd"/>
      <w:r w:rsidRPr="6EFFF2A5">
        <w:rPr>
          <w:rFonts w:ascii="Calibri" w:hAnsi="Calibri" w:eastAsia="Calibri" w:cs="Calibri"/>
          <w:color w:val="000000"/>
        </w:rPr>
        <w:t xml:space="preserve"> specific contexts, events, and community settings to ensure relevance and effectiveness.</w:t>
      </w:r>
    </w:p>
    <w:p w:rsidR="70BD0E54" w:rsidP="003972A8" w:rsidRDefault="70BD0E54" w14:paraId="35B1D27D" w14:textId="7878F473">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Emphasis on using trusted individuals and representatives to facilitate engagement and convey messages.</w:t>
      </w:r>
    </w:p>
    <w:p w:rsidR="70BD0E54" w:rsidP="003972A8" w:rsidRDefault="70BD0E54" w14:paraId="0DDD2109" w14:textId="49A4D0F4">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Use of “trusted” locations like churches and community centers</w:t>
      </w:r>
    </w:p>
    <w:p w:rsidR="70BD0E54" w:rsidP="003972A8" w:rsidRDefault="70BD0E54" w14:paraId="71D63313" w14:textId="2AA89050">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Inclusive Outreach</w:t>
      </w:r>
    </w:p>
    <w:p w:rsidR="70BD0E54" w:rsidP="003972A8" w:rsidRDefault="70BD0E54" w14:paraId="7C4D10F8" w14:textId="1B1BE65C">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Engaging with community members in places where they are already present, such as through regular mail, or ensuring they don’t overlap with commonly scheduled activities like Bible study or choir practice, to ensure broader inclusivity.</w:t>
      </w:r>
    </w:p>
    <w:p w:rsidR="70BD0E54" w:rsidP="003972A8" w:rsidRDefault="70BD0E54" w14:paraId="51271993" w14:textId="2D10DC6B">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Continuous Feedback and Adaptation</w:t>
      </w:r>
    </w:p>
    <w:p w:rsidR="70BD0E54" w:rsidP="003972A8" w:rsidRDefault="70BD0E54" w14:paraId="461AC3E8" w14:textId="2928C24C">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Establishing mechanisms for ongoing feedback and information exchange, such as regular meetings between community representatives, to address evolving needs and challenges effectively.</w:t>
      </w:r>
    </w:p>
    <w:p w:rsidRPr="00D91336" w:rsidR="70BD0E54" w:rsidP="506D5FB5" w:rsidRDefault="70BD0E54" w14:paraId="48B0F32C" w14:textId="7F6769F6">
      <w:pPr>
        <w:spacing w:before="300" w:after="300"/>
        <w:rPr>
          <w:rFonts w:ascii="Arial" w:hAnsi="Arial" w:eastAsia="Arial" w:cs="Arial"/>
          <w:b w:val="1"/>
          <w:bCs w:val="1"/>
          <w:i w:val="1"/>
          <w:iCs w:val="1"/>
          <w:color w:val="000000"/>
          <w:u w:val="single"/>
        </w:rPr>
      </w:pPr>
      <w:r w:rsidRPr="506D5FB5" w:rsidR="70BD0E54">
        <w:rPr>
          <w:rFonts w:ascii="Arial" w:hAnsi="Arial" w:eastAsia="Arial" w:cs="Arial"/>
          <w:b w:val="1"/>
          <w:bCs w:val="1"/>
          <w:i w:val="1"/>
          <w:iCs w:val="1"/>
          <w:color w:val="000000"/>
          <w:u w:val="single"/>
        </w:rPr>
        <w:t>Latine</w:t>
      </w:r>
      <w:r w:rsidRPr="506D5FB5" w:rsidR="1DC5B8F6">
        <w:rPr>
          <w:rFonts w:ascii="Arial" w:hAnsi="Arial" w:eastAsia="Arial" w:cs="Arial"/>
          <w:b w:val="1"/>
          <w:bCs w:val="1"/>
          <w:i w:val="1"/>
          <w:iCs w:val="1"/>
          <w:color w:val="000000"/>
          <w:u w:val="single"/>
        </w:rPr>
        <w:t>/Latino</w:t>
      </w:r>
      <w:r w:rsidRPr="506D5FB5" w:rsidR="70BD0E54">
        <w:rPr>
          <w:rFonts w:ascii="Arial" w:hAnsi="Arial" w:eastAsia="Arial" w:cs="Arial"/>
          <w:b w:val="1"/>
          <w:bCs w:val="1"/>
          <w:i w:val="1"/>
          <w:iCs w:val="1"/>
          <w:color w:val="000000"/>
          <w:u w:val="single"/>
        </w:rPr>
        <w:t xml:space="preserve"> Participant</w:t>
      </w:r>
      <w:r w:rsidRPr="506D5FB5" w:rsidR="764E519B">
        <w:rPr>
          <w:rFonts w:ascii="Arial" w:hAnsi="Arial" w:eastAsia="Arial" w:cs="Arial"/>
          <w:b w:val="1"/>
          <w:bCs w:val="1"/>
          <w:i w:val="1"/>
          <w:iCs w:val="1"/>
          <w:color w:val="000000"/>
          <w:u w:val="single"/>
        </w:rPr>
        <w:t xml:space="preserve"> Insights</w:t>
      </w:r>
    </w:p>
    <w:p w:rsidR="70BD0E54" w:rsidP="003972A8" w:rsidRDefault="70BD0E54" w14:paraId="5308CBA0" w14:textId="26EDA429">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Diverse Community Engagement Points</w:t>
      </w:r>
    </w:p>
    <w:p w:rsidR="70BD0E54" w:rsidP="003972A8" w:rsidRDefault="70BD0E54" w14:paraId="7D62F884" w14:textId="60140055">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Community centers offer workshops and classes, making them accessible venues for education and interaction.</w:t>
      </w:r>
    </w:p>
    <w:p w:rsidR="70BD0E54" w:rsidP="003972A8" w:rsidRDefault="70BD0E54" w14:paraId="24ED09F8" w14:textId="76E70D75">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Social media platforms cater to different age groups, with Facebook, Instagram, and TikTok being popular among various demographics.</w:t>
      </w:r>
    </w:p>
    <w:p w:rsidR="70BD0E54" w:rsidP="003972A8" w:rsidRDefault="70BD0E54" w14:paraId="23DF2ABF" w14:textId="3F63C561">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Spanish language radio stations and local news outlets serve as vital sources of information for Spanish-speaking communities.</w:t>
      </w:r>
    </w:p>
    <w:p w:rsidR="70BD0E54" w:rsidP="003972A8" w:rsidRDefault="70BD0E54" w14:paraId="61B5D644" w14:textId="30348DC7">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Schools act as information hubs, particularly reaching parents and grandparents through physical media.</w:t>
      </w:r>
    </w:p>
    <w:p w:rsidR="70BD0E54" w:rsidP="003972A8" w:rsidRDefault="70BD0E54" w14:paraId="1915FC3E" w14:textId="63C52E01">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Targeted Outreach Locations</w:t>
      </w:r>
    </w:p>
    <w:p w:rsidR="70BD0E54" w:rsidP="003972A8" w:rsidRDefault="70BD0E54" w14:paraId="262AC82F" w14:textId="1E9BA5F5">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Community groups focused on forestry, agriculture, or sustainability provide existing networks for engagement.</w:t>
      </w:r>
    </w:p>
    <w:p w:rsidR="70BD0E54" w:rsidP="003972A8" w:rsidRDefault="70BD0E54" w14:paraId="4210AFE7" w14:textId="5EAA9AE4">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Latin markets, churches, laundromats, universities, doctor's offices, clinics, and special events offer diverse settings to reach different segments of the population.</w:t>
      </w:r>
    </w:p>
    <w:p w:rsidR="70BD0E54" w:rsidP="003972A8" w:rsidRDefault="70BD0E54" w14:paraId="3F0AB0BA" w14:textId="04F8A5FF">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Understanding Information Flow</w:t>
      </w:r>
    </w:p>
    <w:p w:rsidR="70BD0E54" w:rsidP="003972A8" w:rsidRDefault="70BD0E54" w14:paraId="06F4C0F8" w14:textId="67D9EDDD">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Information dissemination varies based on specific community characteristics, preferences, and access to resources.</w:t>
      </w:r>
    </w:p>
    <w:p w:rsidR="70BD0E54" w:rsidP="003972A8" w:rsidRDefault="70BD0E54" w14:paraId="55DDB301" w14:textId="01D2EFF8">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 xml:space="preserve">Messaging boards, including WhatsApp and </w:t>
      </w:r>
      <w:proofErr w:type="spellStart"/>
      <w:r w:rsidRPr="6EFFF2A5">
        <w:rPr>
          <w:rFonts w:ascii="Calibri" w:hAnsi="Calibri" w:eastAsia="Calibri" w:cs="Calibri"/>
          <w:color w:val="000000"/>
        </w:rPr>
        <w:t>NextDoor</w:t>
      </w:r>
      <w:proofErr w:type="spellEnd"/>
      <w:r w:rsidRPr="6EFFF2A5">
        <w:rPr>
          <w:rFonts w:ascii="Calibri" w:hAnsi="Calibri" w:eastAsia="Calibri" w:cs="Calibri"/>
          <w:color w:val="000000"/>
        </w:rPr>
        <w:t>, are popular communication channels with extensive interconnections, particularly within schools and churches.</w:t>
      </w:r>
    </w:p>
    <w:p w:rsidR="70BD0E54" w:rsidP="003972A8" w:rsidRDefault="70BD0E54" w14:paraId="684185E8" w14:textId="0C4E79B8">
      <w:pPr>
        <w:pStyle w:val="ListParagraph"/>
        <w:numPr>
          <w:ilvl w:val="0"/>
          <w:numId w:val="1"/>
        </w:numPr>
        <w:spacing w:before="240" w:after="240"/>
        <w:rPr>
          <w:rFonts w:ascii="Calibri" w:hAnsi="Calibri" w:eastAsia="Calibri" w:cs="Calibri"/>
          <w:color w:val="000000"/>
        </w:rPr>
      </w:pPr>
      <w:r w:rsidRPr="0BD33224" w:rsidR="70BD0E54">
        <w:rPr>
          <w:rFonts w:ascii="Calibri" w:hAnsi="Calibri" w:eastAsia="Calibri" w:cs="Calibri"/>
          <w:b w:val="1"/>
          <w:bCs w:val="1"/>
          <w:color w:val="000000"/>
        </w:rPr>
        <w:t>Considerations for Inclusive Outreach</w:t>
      </w:r>
    </w:p>
    <w:p w:rsidR="70BD0E54" w:rsidP="003972A8" w:rsidRDefault="70BD0E54" w14:paraId="6F36960E" w14:textId="2285AB71">
      <w:pPr>
        <w:pStyle w:val="ListParagraph"/>
        <w:numPr>
          <w:ilvl w:val="1"/>
          <w:numId w:val="1"/>
        </w:numPr>
        <w:spacing w:after="0"/>
        <w:rPr>
          <w:rFonts w:ascii="Calibri" w:hAnsi="Calibri" w:eastAsia="Calibri" w:cs="Calibri"/>
          <w:color w:val="000000"/>
        </w:rPr>
      </w:pPr>
      <w:r w:rsidRPr="6EFFF2A5">
        <w:rPr>
          <w:rFonts w:ascii="Calibri" w:hAnsi="Calibri" w:eastAsia="Calibri" w:cs="Calibri"/>
          <w:color w:val="000000"/>
        </w:rPr>
        <w:t>Networking with community representatives is crucial for effective engagement.</w:t>
      </w:r>
    </w:p>
    <w:p w:rsidR="70BD0E54" w:rsidP="003972A8" w:rsidRDefault="70BD0E54" w14:paraId="72353BC7" w14:textId="54F17803">
      <w:pPr>
        <w:pStyle w:val="ListParagraph"/>
        <w:numPr>
          <w:ilvl w:val="1"/>
          <w:numId w:val="1"/>
        </w:numPr>
        <w:spacing w:after="0"/>
        <w:rPr>
          <w:rFonts w:ascii="Calibri" w:hAnsi="Calibri" w:eastAsia="Calibri" w:cs="Calibri"/>
          <w:color w:val="000000"/>
        </w:rPr>
      </w:pPr>
      <w:r w:rsidRPr="506D5FB5" w:rsidR="70BD0E54">
        <w:rPr>
          <w:rFonts w:ascii="Calibri" w:hAnsi="Calibri" w:eastAsia="Calibri" w:cs="Calibri"/>
          <w:color w:val="000000"/>
        </w:rPr>
        <w:t>While print materials may be perceived as junk mail, mobile PDFs offer accessible digital alternatives, although older demographics still prefer print.</w:t>
      </w:r>
    </w:p>
    <w:p w:rsidR="175BF86F" w:rsidP="175BF86F" w:rsidRDefault="175BF86F" w14:paraId="01FB2207" w14:textId="49B6E947">
      <w:pPr>
        <w:spacing w:after="0"/>
        <w:rPr>
          <w:rFonts w:ascii="Calibri" w:hAnsi="Calibri" w:eastAsia="Calibri" w:cs="Calibri"/>
          <w:color w:val="000000"/>
        </w:rPr>
      </w:pPr>
    </w:p>
    <w:p w:rsidR="29DF0299" w:rsidP="29DF0299" w:rsidRDefault="29DF0299" w14:paraId="1C8BCD74" w14:textId="3B83372A">
      <w:pPr>
        <w:spacing w:after="0"/>
        <w:rPr>
          <w:rFonts w:ascii="Calibri" w:hAnsi="Calibri" w:eastAsia="Calibri" w:cs="Calibri"/>
          <w:color w:val="000000"/>
        </w:rPr>
      </w:pPr>
    </w:p>
    <w:p w:rsidRPr="00AE4668" w:rsidR="00AE4668" w:rsidP="0BD33224" w:rsidRDefault="45F128E1" w14:paraId="3F60E7C9" w14:textId="28DF0D7C">
      <w:pPr>
        <w:spacing w:after="0" w:line="240" w:lineRule="auto"/>
        <w:rPr>
          <w:rFonts w:ascii="Arial" w:hAnsi="Arial" w:eastAsia="Arial" w:cs="Arial"/>
          <w:b w:val="1"/>
          <w:bCs w:val="1"/>
          <w:color w:val="237D12" w:themeColor="text2" w:themeTint="FF" w:themeShade="FF"/>
          <w:sz w:val="22"/>
          <w:szCs w:val="22"/>
        </w:rPr>
      </w:pPr>
      <w:r w:rsidRPr="0BD33224" w:rsidR="45F128E1">
        <w:rPr>
          <w:rFonts w:ascii="Arial" w:hAnsi="Arial" w:eastAsia="Arial" w:cs="Arial"/>
          <w:b w:val="1"/>
          <w:bCs w:val="1"/>
          <w:color w:val="237D12" w:themeColor="text2" w:themeTint="FF" w:themeShade="FF"/>
          <w:sz w:val="22"/>
          <w:szCs w:val="22"/>
        </w:rPr>
        <w:t>Selected Resources</w:t>
      </w:r>
    </w:p>
    <w:p w:rsidR="29DF0299" w:rsidP="0BD33224" w:rsidRDefault="00D75A2C" w14:paraId="266179A0" w14:textId="2C558CA5">
      <w:pPr>
        <w:pStyle w:val="Normal"/>
        <w:spacing w:after="0" w:line="240" w:lineRule="auto"/>
        <w:rPr>
          <w:rFonts w:ascii="Arial" w:hAnsi="Arial" w:eastAsia="Arial" w:cs="Arial"/>
          <w:b w:val="1"/>
          <w:bCs w:val="1"/>
          <w:color w:val="237D12" w:themeColor="text2" w:themeTint="FF" w:themeShade="FF"/>
          <w:sz w:val="22"/>
          <w:szCs w:val="22"/>
        </w:rPr>
      </w:pPr>
    </w:p>
    <w:p w:rsidR="29DF0299" w:rsidP="0BD33224" w:rsidRDefault="00D75A2C" w14:paraId="5380C658" w14:textId="065C15B8">
      <w:pPr>
        <w:pStyle w:val="Normal"/>
        <w:rPr>
          <w:rFonts w:ascii="Calibri" w:hAnsi="Calibri" w:eastAsia="Calibri" w:cs="Calibri"/>
          <w:b w:val="0"/>
          <w:bCs w:val="0"/>
          <w:color w:val="000000"/>
        </w:rPr>
      </w:pPr>
      <w:r w:rsidRPr="0BD33224" w:rsidR="00D75A2C">
        <w:rPr>
          <w:rStyle w:val="normaltextrun"/>
          <w:rFonts w:ascii="Calibri" w:hAnsi="Calibri" w:cs="Calibri"/>
          <w:b w:val="0"/>
          <w:bCs w:val="0"/>
          <w:color w:val="000000"/>
          <w:shd w:val="clear" w:color="auto" w:fill="FFFFFF"/>
        </w:rPr>
        <w:t>These resources provide examples of organizations incorporating c</w:t>
      </w:r>
      <w:r w:rsidRPr="0BD33224" w:rsidR="63A11612">
        <w:rPr>
          <w:rStyle w:val="normaltextrun"/>
          <w:rFonts w:ascii="Calibri" w:hAnsi="Calibri" w:cs="Calibri"/>
          <w:b w:val="0"/>
          <w:bCs w:val="0"/>
          <w:color w:val="000000"/>
          <w:shd w:val="clear" w:color="auto" w:fill="FFFFFF"/>
        </w:rPr>
        <w:t>ommunication and outreach methods</w:t>
      </w:r>
      <w:r w:rsidRPr="0BD33224" w:rsidR="00D75A2C">
        <w:rPr>
          <w:rStyle w:val="normaltextrun"/>
          <w:rFonts w:ascii="Calibri" w:hAnsi="Calibri" w:cs="Calibri"/>
          <w:b w:val="0"/>
          <w:bCs w:val="0"/>
          <w:color w:val="000000"/>
          <w:shd w:val="clear" w:color="auto" w:fill="FFFFFF"/>
        </w:rPr>
        <w:t>, how-</w:t>
      </w:r>
      <w:r w:rsidRPr="0BD33224" w:rsidR="00D75A2C">
        <w:rPr>
          <w:rStyle w:val="normaltextrun"/>
          <w:rFonts w:ascii="Calibri" w:hAnsi="Calibri" w:cs="Calibri"/>
          <w:b w:val="0"/>
          <w:bCs w:val="0"/>
          <w:color w:val="000000"/>
          <w:shd w:val="clear" w:color="auto" w:fill="FFFFFF"/>
        </w:rPr>
        <w:t>to's</w:t>
      </w:r>
      <w:r w:rsidRPr="0BD33224" w:rsidR="00D75A2C">
        <w:rPr>
          <w:rStyle w:val="normaltextrun"/>
          <w:rFonts w:ascii="Calibri" w:hAnsi="Calibri" w:cs="Calibri"/>
          <w:b w:val="0"/>
          <w:bCs w:val="0"/>
          <w:color w:val="000000"/>
          <w:shd w:val="clear" w:color="auto" w:fill="FFFFFF"/>
        </w:rPr>
        <w:t xml:space="preserve"> focused on </w:t>
      </w:r>
      <w:r w:rsidRPr="0BD33224" w:rsidR="314A668B">
        <w:rPr>
          <w:rStyle w:val="normaltextrun"/>
          <w:rFonts w:ascii="Calibri" w:hAnsi="Calibri" w:cs="Calibri"/>
          <w:b w:val="0"/>
          <w:bCs w:val="0"/>
          <w:color w:val="000000"/>
          <w:shd w:val="clear" w:color="auto" w:fill="FFFFFF"/>
        </w:rPr>
        <w:t xml:space="preserve">creating effective outreach initiatives,</w:t>
      </w:r>
      <w:r w:rsidRPr="0BD33224" w:rsidR="00D75A2C">
        <w:rPr>
          <w:rStyle w:val="normaltextrun"/>
          <w:rFonts w:ascii="Calibri" w:hAnsi="Calibri" w:cs="Calibri"/>
          <w:b w:val="0"/>
          <w:bCs w:val="0"/>
          <w:color w:val="000000"/>
          <w:shd w:val="clear" w:color="auto" w:fill="FFFFFF"/>
        </w:rPr>
        <w:t xml:space="preserve"> </w:t>
      </w:r>
      <w:r w:rsidRPr="0BD33224" w:rsidR="00D75A2C">
        <w:rPr>
          <w:rStyle w:val="normaltextrun"/>
          <w:rFonts w:ascii="Calibri" w:hAnsi="Calibri" w:cs="Calibri"/>
          <w:b w:val="0"/>
          <w:bCs w:val="0"/>
          <w:color w:val="000000"/>
          <w:shd w:val="clear" w:color="auto" w:fill="FFFFFF"/>
        </w:rPr>
        <w:t xml:space="preserve">and a case study that can </w:t>
      </w:r>
      <w:r w:rsidRPr="0BD33224" w:rsidR="00D75A2C">
        <w:rPr>
          <w:rStyle w:val="normaltextrun"/>
          <w:rFonts w:ascii="Calibri" w:hAnsi="Calibri" w:cs="Calibri"/>
          <w:b w:val="0"/>
          <w:bCs w:val="0"/>
          <w:color w:val="000000"/>
          <w:shd w:val="clear" w:color="auto" w:fill="FFFFFF"/>
        </w:rPr>
        <w:t xml:space="preserve">provide</w:t>
      </w:r>
      <w:r w:rsidRPr="0BD33224" w:rsidR="00D75A2C">
        <w:rPr>
          <w:rStyle w:val="normaltextrun"/>
          <w:rFonts w:ascii="Calibri" w:hAnsi="Calibri" w:cs="Calibri"/>
          <w:b w:val="0"/>
          <w:bCs w:val="0"/>
          <w:color w:val="000000"/>
          <w:shd w:val="clear" w:color="auto" w:fill="FFFFFF"/>
        </w:rPr>
        <w:t xml:space="preserve"> an example of </w:t>
      </w:r>
      <w:r w:rsidRPr="0BD33224" w:rsidR="3A27B3F6">
        <w:rPr>
          <w:rStyle w:val="normaltextrun"/>
          <w:rFonts w:ascii="Calibri" w:hAnsi="Calibri" w:cs="Calibri"/>
          <w:b w:val="0"/>
          <w:bCs w:val="0"/>
          <w:color w:val="000000"/>
          <w:shd w:val="clear" w:color="auto" w:fill="FFFFFF"/>
        </w:rPr>
        <w:t xml:space="preserve">a way to connect with a community for feedback and direction.</w:t>
      </w:r>
      <w:r w:rsidR="00D75A2C">
        <w:rPr>
          <w:rStyle w:val="eop"/>
          <w:rFonts w:ascii="Calibri" w:hAnsi="Calibri" w:cs="Calibri"/>
          <w:b w:val="0"/>
          <w:bCs w:val="0"/>
          <w:color w:val="000000"/>
          <w:shd w:val="clear" w:color="auto" w:fill="FFFFFF"/>
        </w:rPr>
        <w:t> </w:t>
      </w:r>
    </w:p>
    <w:p w:rsidR="0042407C" w:rsidP="506D5FB5" w:rsidRDefault="0042407C" w14:paraId="73997642" w14:textId="577ECD47">
      <w:pPr>
        <w:pStyle w:val="paragraph"/>
        <w:spacing w:before="0" w:beforeAutospacing="off" w:after="0" w:afterAutospacing="off"/>
        <w:textAlignment w:val="baseline"/>
        <w:rPr>
          <w:rFonts w:ascii="Segoe UI" w:hAnsi="Segoe UI" w:cs="Segoe UI"/>
          <w:sz w:val="18"/>
          <w:szCs w:val="18"/>
        </w:rPr>
      </w:pPr>
      <w:r w:rsidRPr="506D5FB5" w:rsidR="0042407C">
        <w:rPr>
          <w:rStyle w:val="normaltextrun"/>
          <w:rFonts w:ascii="Calibri" w:hAnsi="Calibri" w:cs="Calibri"/>
          <w:b w:val="1"/>
          <w:bCs w:val="1"/>
          <w:color w:val="000000"/>
          <w:sz w:val="22"/>
          <w:szCs w:val="22"/>
        </w:rPr>
        <w:t>EXAMPLE</w:t>
      </w:r>
      <w:r w:rsidRPr="506D5FB5" w:rsidR="61E4F343">
        <w:rPr>
          <w:rStyle w:val="normaltextrun"/>
          <w:rFonts w:ascii="Calibri" w:hAnsi="Calibri" w:cs="Calibri"/>
          <w:b w:val="1"/>
          <w:bCs w:val="1"/>
          <w:color w:val="000000"/>
          <w:sz w:val="22"/>
          <w:szCs w:val="22"/>
        </w:rPr>
        <w:t xml:space="preserve"> -</w:t>
      </w:r>
      <w:r w:rsidRPr="506D5FB5" w:rsidR="0042407C">
        <w:rPr>
          <w:rStyle w:val="normaltextrun"/>
          <w:rFonts w:ascii="Calibri" w:hAnsi="Calibri" w:cs="Calibri"/>
          <w:b w:val="1"/>
          <w:bCs w:val="1"/>
          <w:color w:val="000000"/>
          <w:sz w:val="22"/>
          <w:szCs w:val="22"/>
        </w:rPr>
        <w:t xml:space="preserve"> </w:t>
      </w:r>
      <w:hyperlink r:id="R231f220808e64554">
        <w:r w:rsidRPr="506D5FB5" w:rsidR="0042407C">
          <w:rPr>
            <w:rStyle w:val="normaltextrun"/>
            <w:rFonts w:ascii="Calibri" w:hAnsi="Calibri" w:cs="Calibri"/>
            <w:b w:val="1"/>
            <w:bCs w:val="1"/>
            <w:color w:val="0563C1"/>
            <w:sz w:val="22"/>
            <w:szCs w:val="22"/>
            <w:u w:val="single"/>
          </w:rPr>
          <w:t>Portland-Vancouver Regional Urban Forestry Strategy Partnership</w:t>
        </w:r>
      </w:hyperlink>
      <w:r w:rsidRPr="506D5FB5" w:rsidR="0042407C">
        <w:rPr>
          <w:rStyle w:val="normaltextrun"/>
          <w:rFonts w:ascii="Calibri" w:hAnsi="Calibri" w:cs="Calibri"/>
          <w:b w:val="1"/>
          <w:bCs w:val="1"/>
          <w:color w:val="000000"/>
          <w:sz w:val="22"/>
          <w:szCs w:val="22"/>
        </w:rPr>
        <w:t xml:space="preserve">: </w:t>
      </w:r>
      <w:r w:rsidRPr="506D5FB5" w:rsidR="0042407C">
        <w:rPr>
          <w:rStyle w:val="normaltextrun"/>
          <w:rFonts w:ascii="Calibri" w:hAnsi="Calibri" w:cs="Calibri"/>
          <w:color w:val="000000"/>
          <w:sz w:val="22"/>
          <w:szCs w:val="22"/>
        </w:rPr>
        <w:t xml:space="preserve">This guidebook was created to emphasize a collective impact approach to urban forestry in the Portland/Vancouver region. It includes a variety of key points in terms of ways to communicate across </w:t>
      </w:r>
      <w:r w:rsidRPr="506D5FB5" w:rsidR="0042407C">
        <w:rPr>
          <w:rStyle w:val="normaltextrun"/>
          <w:rFonts w:ascii="Calibri" w:hAnsi="Calibri" w:cs="Calibri"/>
          <w:color w:val="000000"/>
          <w:sz w:val="22"/>
          <w:szCs w:val="22"/>
        </w:rPr>
        <w:t>jurisdictions</w:t>
      </w:r>
      <w:r w:rsidRPr="506D5FB5" w:rsidR="0042407C">
        <w:rPr>
          <w:rStyle w:val="normaltextrun"/>
          <w:rFonts w:ascii="Calibri" w:hAnsi="Calibri" w:cs="Calibri"/>
          <w:color w:val="000000"/>
          <w:sz w:val="22"/>
          <w:szCs w:val="22"/>
        </w:rPr>
        <w:t xml:space="preserve">, with a variety of </w:t>
      </w:r>
      <w:r w:rsidRPr="506D5FB5" w:rsidR="0042407C">
        <w:rPr>
          <w:rStyle w:val="normaltextrun"/>
          <w:rFonts w:ascii="Calibri" w:hAnsi="Calibri" w:cs="Calibri"/>
          <w:color w:val="000000"/>
          <w:sz w:val="22"/>
          <w:szCs w:val="22"/>
        </w:rPr>
        <w:t>different types</w:t>
      </w:r>
      <w:r w:rsidRPr="506D5FB5" w:rsidR="0042407C">
        <w:rPr>
          <w:rStyle w:val="normaltextrun"/>
          <w:rFonts w:ascii="Calibri" w:hAnsi="Calibri" w:cs="Calibri"/>
          <w:color w:val="000000"/>
          <w:sz w:val="22"/>
          <w:szCs w:val="22"/>
        </w:rPr>
        <w:t xml:space="preserve"> of stakeholders, and emphasizes the widening of communication scope to align urban forestry initiatives with other issues. </w:t>
      </w:r>
      <w:r w:rsidRPr="506D5FB5" w:rsidR="0042407C">
        <w:rPr>
          <w:rStyle w:val="eop"/>
          <w:rFonts w:ascii="Calibri" w:hAnsi="Calibri" w:cs="Calibri"/>
          <w:color w:val="000000"/>
          <w:sz w:val="22"/>
          <w:szCs w:val="22"/>
        </w:rPr>
        <w:t> </w:t>
      </w:r>
    </w:p>
    <w:p w:rsidR="0042407C" w:rsidP="0042407C" w:rsidRDefault="0042407C" w14:paraId="247EF5A4"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42407C" w:rsidP="506D5FB5" w:rsidRDefault="0042407C" w14:paraId="615AB703" w14:textId="6AD30EDB">
      <w:pPr>
        <w:pStyle w:val="paragraph"/>
        <w:spacing w:before="0" w:beforeAutospacing="off" w:after="0" w:afterAutospacing="off"/>
        <w:textAlignment w:val="baseline"/>
        <w:rPr>
          <w:rFonts w:ascii="Segoe UI" w:hAnsi="Segoe UI" w:cs="Segoe UI"/>
          <w:sz w:val="18"/>
          <w:szCs w:val="18"/>
        </w:rPr>
      </w:pPr>
      <w:r w:rsidRPr="506D5FB5" w:rsidR="0042407C">
        <w:rPr>
          <w:rStyle w:val="normaltextrun"/>
          <w:rFonts w:ascii="Calibri" w:hAnsi="Calibri" w:cs="Calibri"/>
          <w:b w:val="1"/>
          <w:bCs w:val="1"/>
          <w:color w:val="000000"/>
          <w:sz w:val="22"/>
          <w:szCs w:val="22"/>
        </w:rPr>
        <w:t xml:space="preserve">HOW-TO </w:t>
      </w:r>
      <w:r w:rsidRPr="506D5FB5" w:rsidR="010650B7">
        <w:rPr>
          <w:rStyle w:val="normaltextrun"/>
          <w:rFonts w:ascii="Calibri" w:hAnsi="Calibri" w:cs="Calibri"/>
          <w:b w:val="1"/>
          <w:bCs w:val="1"/>
          <w:color w:val="000000"/>
          <w:sz w:val="22"/>
          <w:szCs w:val="22"/>
        </w:rPr>
        <w:t xml:space="preserve">- </w:t>
      </w:r>
      <w:hyperlink r:id="R8effea445fae4e57">
        <w:r w:rsidRPr="506D5FB5" w:rsidR="0042407C">
          <w:rPr>
            <w:rStyle w:val="normaltextrun"/>
            <w:rFonts w:ascii="Calibri" w:hAnsi="Calibri" w:cs="Calibri"/>
            <w:b w:val="1"/>
            <w:bCs w:val="1"/>
            <w:color w:val="0563C1"/>
            <w:sz w:val="22"/>
            <w:szCs w:val="22"/>
            <w:u w:val="single"/>
          </w:rPr>
          <w:t>Seattle Urban Forestry Communication Toolkit</w:t>
        </w:r>
      </w:hyperlink>
      <w:r w:rsidRPr="506D5FB5" w:rsidR="0042407C">
        <w:rPr>
          <w:rStyle w:val="normaltextrun"/>
          <w:rFonts w:ascii="Calibri" w:hAnsi="Calibri" w:cs="Calibri"/>
          <w:b w:val="1"/>
          <w:bCs w:val="1"/>
          <w:color w:val="000000"/>
          <w:sz w:val="22"/>
          <w:szCs w:val="22"/>
        </w:rPr>
        <w:t xml:space="preserve"> - </w:t>
      </w:r>
      <w:r w:rsidRPr="506D5FB5" w:rsidR="0042407C">
        <w:rPr>
          <w:rStyle w:val="normaltextrun"/>
          <w:rFonts w:ascii="Calibri" w:hAnsi="Calibri" w:cs="Calibri"/>
          <w:color w:val="000000"/>
          <w:sz w:val="22"/>
          <w:szCs w:val="22"/>
        </w:rPr>
        <w:t xml:space="preserve">This toolkit was designed to give City of Seattle departments involved with the work of urban forestry common language and methods to engage and involve residents in initiatives. It </w:t>
      </w:r>
      <w:r w:rsidRPr="506D5FB5" w:rsidR="0042407C">
        <w:rPr>
          <w:rStyle w:val="normaltextrun"/>
          <w:rFonts w:ascii="Calibri" w:hAnsi="Calibri" w:cs="Calibri"/>
          <w:color w:val="000000"/>
          <w:sz w:val="22"/>
          <w:szCs w:val="22"/>
        </w:rPr>
        <w:t>contains</w:t>
      </w:r>
      <w:r w:rsidRPr="506D5FB5" w:rsidR="0042407C">
        <w:rPr>
          <w:rStyle w:val="normaltextrun"/>
          <w:rFonts w:ascii="Calibri" w:hAnsi="Calibri" w:cs="Calibri"/>
          <w:color w:val="000000"/>
          <w:sz w:val="22"/>
          <w:szCs w:val="22"/>
        </w:rPr>
        <w:t xml:space="preserve"> strategies that include audience analysis, messaging methods and samples, and other tools and lessons to ensure coordinated messaging across the city. </w:t>
      </w:r>
      <w:r w:rsidRPr="506D5FB5" w:rsidR="0042407C">
        <w:rPr>
          <w:rStyle w:val="eop"/>
          <w:rFonts w:ascii="Calibri" w:hAnsi="Calibri" w:cs="Calibri"/>
          <w:color w:val="000000"/>
          <w:sz w:val="22"/>
          <w:szCs w:val="22"/>
        </w:rPr>
        <w:t> </w:t>
      </w:r>
    </w:p>
    <w:p w:rsidR="0042407C" w:rsidP="0042407C" w:rsidRDefault="0042407C" w14:paraId="315C2899"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42407C" w:rsidP="506D5FB5" w:rsidRDefault="0042407C" w14:paraId="702BE3CD" w14:textId="114A4310">
      <w:pPr>
        <w:pStyle w:val="paragraph"/>
        <w:spacing w:before="0" w:beforeAutospacing="off" w:after="0" w:afterAutospacing="off"/>
        <w:textAlignment w:val="baseline"/>
        <w:rPr>
          <w:rFonts w:ascii="Segoe UI" w:hAnsi="Segoe UI" w:cs="Segoe UI"/>
          <w:sz w:val="18"/>
          <w:szCs w:val="18"/>
        </w:rPr>
      </w:pPr>
      <w:r w:rsidRPr="506D5FB5" w:rsidR="0042407C">
        <w:rPr>
          <w:rStyle w:val="normaltextrun"/>
          <w:rFonts w:ascii="Calibri" w:hAnsi="Calibri" w:cs="Calibri"/>
          <w:b w:val="1"/>
          <w:bCs w:val="1"/>
          <w:color w:val="000000"/>
          <w:sz w:val="22"/>
          <w:szCs w:val="22"/>
        </w:rPr>
        <w:t>CASE STUDY</w:t>
      </w:r>
      <w:r w:rsidRPr="506D5FB5" w:rsidR="2D51C459">
        <w:rPr>
          <w:rStyle w:val="normaltextrun"/>
          <w:rFonts w:ascii="Calibri" w:hAnsi="Calibri" w:cs="Calibri"/>
          <w:b w:val="1"/>
          <w:bCs w:val="1"/>
          <w:color w:val="000000"/>
          <w:sz w:val="22"/>
          <w:szCs w:val="22"/>
        </w:rPr>
        <w:t xml:space="preserve"> -</w:t>
      </w:r>
      <w:r w:rsidRPr="506D5FB5" w:rsidR="0042407C">
        <w:rPr>
          <w:rStyle w:val="normaltextrun"/>
          <w:rFonts w:ascii="Calibri" w:hAnsi="Calibri" w:cs="Calibri"/>
          <w:b w:val="1"/>
          <w:bCs w:val="1"/>
          <w:color w:val="000000"/>
          <w:sz w:val="22"/>
          <w:szCs w:val="22"/>
        </w:rPr>
        <w:t xml:space="preserve"> </w:t>
      </w:r>
      <w:hyperlink r:id="R2a91371a43124901">
        <w:r w:rsidRPr="506D5FB5" w:rsidR="0042407C">
          <w:rPr>
            <w:rStyle w:val="normaltextrun"/>
            <w:rFonts w:ascii="Calibri" w:hAnsi="Calibri" w:cs="Calibri"/>
            <w:b w:val="1"/>
            <w:bCs w:val="1"/>
            <w:color w:val="0563C1"/>
            <w:sz w:val="22"/>
            <w:szCs w:val="22"/>
            <w:u w:val="single"/>
          </w:rPr>
          <w:t>Chesapeake Bay Urban Forestry Analysis</w:t>
        </w:r>
      </w:hyperlink>
      <w:r w:rsidRPr="506D5FB5" w:rsidR="0042407C">
        <w:rPr>
          <w:rStyle w:val="normaltextrun"/>
          <w:rFonts w:ascii="Calibri" w:hAnsi="Calibri" w:cs="Calibri"/>
          <w:b w:val="1"/>
          <w:bCs w:val="1"/>
          <w:color w:val="000000"/>
          <w:sz w:val="22"/>
          <w:szCs w:val="22"/>
        </w:rPr>
        <w:t xml:space="preserve">: </w:t>
      </w:r>
      <w:r w:rsidRPr="506D5FB5" w:rsidR="0042407C">
        <w:rPr>
          <w:rStyle w:val="normaltextrun"/>
          <w:rFonts w:ascii="Calibri" w:hAnsi="Calibri" w:cs="Calibri"/>
          <w:color w:val="000000"/>
          <w:sz w:val="22"/>
          <w:szCs w:val="22"/>
        </w:rPr>
        <w:t xml:space="preserve">This analysis was created to assess whether all communities in the Chesapeake Bay region received the </w:t>
      </w:r>
      <w:r w:rsidRPr="506D5FB5" w:rsidR="0042407C">
        <w:rPr>
          <w:rStyle w:val="normaltextrun"/>
          <w:rFonts w:ascii="Calibri" w:hAnsi="Calibri" w:cs="Calibri"/>
          <w:color w:val="000000"/>
          <w:sz w:val="22"/>
          <w:szCs w:val="22"/>
        </w:rPr>
        <w:t>whole range</w:t>
      </w:r>
      <w:r w:rsidRPr="506D5FB5" w:rsidR="0042407C">
        <w:rPr>
          <w:rStyle w:val="normaltextrun"/>
          <w:rFonts w:ascii="Calibri" w:hAnsi="Calibri" w:cs="Calibri"/>
          <w:color w:val="000000"/>
          <w:sz w:val="22"/>
          <w:szCs w:val="22"/>
        </w:rPr>
        <w:t xml:space="preserve"> of benefits from urban forestry. The results </w:t>
      </w:r>
      <w:r w:rsidRPr="506D5FB5" w:rsidR="0042407C">
        <w:rPr>
          <w:rStyle w:val="normaltextrun"/>
          <w:rFonts w:ascii="Calibri" w:hAnsi="Calibri" w:cs="Calibri"/>
          <w:color w:val="000000"/>
          <w:sz w:val="22"/>
          <w:szCs w:val="22"/>
        </w:rPr>
        <w:t>indicated</w:t>
      </w:r>
      <w:r w:rsidRPr="506D5FB5" w:rsidR="0042407C">
        <w:rPr>
          <w:rStyle w:val="normaltextrun"/>
          <w:rFonts w:ascii="Calibri" w:hAnsi="Calibri" w:cs="Calibri"/>
          <w:color w:val="000000"/>
          <w:sz w:val="22"/>
          <w:szCs w:val="22"/>
        </w:rPr>
        <w:t xml:space="preserve"> that one key </w:t>
      </w:r>
      <w:r w:rsidRPr="506D5FB5" w:rsidR="0042407C">
        <w:rPr>
          <w:rStyle w:val="normaltextrun"/>
          <w:rFonts w:ascii="Calibri" w:hAnsi="Calibri" w:cs="Calibri"/>
          <w:color w:val="000000"/>
          <w:sz w:val="22"/>
          <w:szCs w:val="22"/>
        </w:rPr>
        <w:t>reason why</w:t>
      </w:r>
      <w:r w:rsidRPr="506D5FB5" w:rsidR="0042407C">
        <w:rPr>
          <w:rStyle w:val="normaltextrun"/>
          <w:rFonts w:ascii="Calibri" w:hAnsi="Calibri" w:cs="Calibri"/>
          <w:color w:val="000000"/>
          <w:sz w:val="22"/>
          <w:szCs w:val="22"/>
        </w:rPr>
        <w:t xml:space="preserve"> that was not the case was inadequate messaging. Highly technical language was identified as a key barrier to access for the public in learning about the benefits of urban forestry. </w:t>
      </w:r>
      <w:r w:rsidRPr="506D5FB5" w:rsidR="0042407C">
        <w:rPr>
          <w:rStyle w:val="eop"/>
          <w:rFonts w:ascii="Calibri" w:hAnsi="Calibri" w:cs="Calibri"/>
          <w:color w:val="000000"/>
          <w:sz w:val="22"/>
          <w:szCs w:val="22"/>
        </w:rPr>
        <w:t> </w:t>
      </w:r>
    </w:p>
    <w:p w:rsidR="0BD33224" w:rsidP="0BD33224" w:rsidRDefault="0BD33224" w14:paraId="7AEB2F90" w14:textId="7B6944CD">
      <w:pPr>
        <w:pStyle w:val="paragraph"/>
        <w:spacing w:before="0" w:beforeAutospacing="off" w:after="0" w:afterAutospacing="off"/>
        <w:rPr>
          <w:rStyle w:val="normaltextrun"/>
          <w:rFonts w:ascii="Arial" w:hAnsi="Arial" w:eastAsia="Arial" w:cs="Arial"/>
          <w:b w:val="1"/>
          <w:bCs w:val="1"/>
          <w:color w:val="237D12" w:themeColor="text2" w:themeTint="FF" w:themeShade="FF"/>
          <w:sz w:val="22"/>
          <w:szCs w:val="22"/>
        </w:rPr>
      </w:pPr>
    </w:p>
    <w:p w:rsidR="0BD33224" w:rsidP="0BD33224" w:rsidRDefault="0BD33224" w14:paraId="43636334" w14:textId="3A5A97A9">
      <w:pPr>
        <w:pStyle w:val="paragraph"/>
        <w:spacing w:before="0" w:beforeAutospacing="off" w:after="0" w:afterAutospacing="off"/>
        <w:rPr>
          <w:rStyle w:val="normaltextrun"/>
          <w:rFonts w:ascii="Arial" w:hAnsi="Arial" w:eastAsia="Arial" w:cs="Arial"/>
          <w:b w:val="1"/>
          <w:bCs w:val="1"/>
          <w:color w:val="237D12" w:themeColor="text2" w:themeTint="FF" w:themeShade="FF"/>
          <w:sz w:val="22"/>
          <w:szCs w:val="22"/>
        </w:rPr>
      </w:pPr>
    </w:p>
    <w:p w:rsidRPr="006C5A53" w:rsidR="0042407C" w:rsidP="0BD33224" w:rsidRDefault="0042407C" w14:paraId="49B31C38" w14:textId="0FBCBA1A">
      <w:pPr>
        <w:pStyle w:val="paragraph"/>
        <w:spacing w:before="0" w:beforeAutospacing="off" w:after="0" w:afterAutospacing="off"/>
        <w:textAlignment w:val="baseline"/>
        <w:rPr>
          <w:rFonts w:ascii="Arial" w:hAnsi="Arial" w:eastAsia="Arial" w:cs="Arial"/>
          <w:color w:val="237D12" w:themeColor="text2"/>
          <w:sz w:val="22"/>
          <w:szCs w:val="22"/>
        </w:rPr>
      </w:pPr>
      <w:r w:rsidRPr="0BD33224" w:rsidR="0042407C">
        <w:rPr>
          <w:rStyle w:val="normaltextrun"/>
          <w:rFonts w:ascii="Arial" w:hAnsi="Arial" w:eastAsia="Arial" w:cs="Arial"/>
          <w:b w:val="1"/>
          <w:bCs w:val="1"/>
          <w:color w:val="237D12" w:themeColor="text2" w:themeTint="FF" w:themeShade="FF"/>
          <w:sz w:val="22"/>
          <w:szCs w:val="22"/>
        </w:rPr>
        <w:t>References</w:t>
      </w:r>
      <w:r w:rsidRPr="0BD33224" w:rsidR="0042407C">
        <w:rPr>
          <w:rStyle w:val="eop"/>
          <w:rFonts w:ascii="Arial" w:hAnsi="Arial" w:eastAsia="Arial" w:cs="Arial"/>
          <w:color w:val="237D12" w:themeColor="text2" w:themeTint="FF" w:themeShade="FF"/>
          <w:sz w:val="22"/>
          <w:szCs w:val="22"/>
        </w:rPr>
        <w:t> </w:t>
      </w:r>
    </w:p>
    <w:p w:rsidR="0042407C" w:rsidP="0BD33224" w:rsidRDefault="0042407C" w14:paraId="520B48A1" w14:textId="2549FE77">
      <w:pPr>
        <w:pStyle w:val="paragraph"/>
        <w:spacing w:before="0" w:beforeAutospacing="off" w:after="0" w:afterAutospacing="off"/>
        <w:ind w:left="-30" w:right="-30"/>
        <w:textAlignment w:val="baseline"/>
        <w:rPr>
          <w:rStyle w:val="normaltextrun"/>
          <w:rFonts w:ascii="Calibri" w:hAnsi="Calibri" w:cs="Calibri"/>
          <w:i w:val="1"/>
          <w:iCs w:val="1"/>
          <w:color w:val="000000"/>
          <w:sz w:val="22"/>
          <w:szCs w:val="22"/>
        </w:rPr>
      </w:pPr>
    </w:p>
    <w:p w:rsidR="0042407C" w:rsidP="506D5FB5" w:rsidRDefault="0042407C" w14:paraId="06EB6C2D" w14:textId="251C9DEF" w14:noSpellErr="1">
      <w:pPr>
        <w:pStyle w:val="paragraph"/>
        <w:spacing w:before="0" w:beforeAutospacing="off" w:after="0" w:afterAutospacing="off"/>
        <w:ind/>
        <w:textAlignment w:val="baseline"/>
        <w:rPr>
          <w:rFonts w:ascii="Calibri" w:hAnsi="Calibri" w:eastAsia="Calibri" w:cs="Calibri" w:asciiTheme="minorAscii" w:hAnsiTheme="minorAscii" w:eastAsiaTheme="minorAscii" w:cstheme="minorAscii"/>
          <w:sz w:val="22"/>
          <w:szCs w:val="22"/>
        </w:rPr>
      </w:pPr>
      <w:r w:rsidRPr="506D5FB5" w:rsidR="568839E5">
        <w:rPr>
          <w:rStyle w:val="normaltextrun"/>
          <w:rFonts w:ascii="Calibri" w:hAnsi="Calibri" w:eastAsia="Calibri" w:cs="Calibri" w:asciiTheme="minorAscii" w:hAnsiTheme="minorAscii" w:eastAsiaTheme="minorAscii" w:cstheme="minorAscii"/>
          <w:color w:val="000000"/>
          <w:sz w:val="22"/>
          <w:szCs w:val="22"/>
        </w:rPr>
        <w:t>Driscoll, A.N. &amp; Ries, P.D. (2015). Cultivating a greener Collective Impact: A guidebook for regional urban forestry collaboration. Salem, OR: Oregon Department of Forestry. </w:t>
      </w:r>
    </w:p>
    <w:p w:rsidR="0042407C" w:rsidP="506D5FB5" w:rsidRDefault="0042407C" w14:textId="77777777" w14:paraId="6A6CA15F" w14:noSpellErr="1">
      <w:pPr>
        <w:pStyle w:val="paragraph"/>
        <w:spacing w:before="0" w:beforeAutospacing="off" w:after="0" w:afterAutospacing="off"/>
        <w:ind/>
        <w:textAlignment w:val="baseline"/>
        <w:rPr>
          <w:rFonts w:ascii="Calibri" w:hAnsi="Calibri" w:eastAsia="Calibri" w:cs="Calibri" w:asciiTheme="minorAscii" w:hAnsiTheme="minorAscii" w:eastAsiaTheme="minorAscii" w:cstheme="minorAscii"/>
          <w:sz w:val="22"/>
          <w:szCs w:val="22"/>
        </w:rPr>
      </w:pPr>
      <w:r w:rsidRPr="506D5FB5" w:rsidR="568839E5">
        <w:rPr>
          <w:rStyle w:val="eop"/>
          <w:rFonts w:ascii="Calibri" w:hAnsi="Calibri" w:eastAsia="Calibri" w:cs="Calibri" w:asciiTheme="minorAscii" w:hAnsiTheme="minorAscii" w:eastAsiaTheme="minorAscii" w:cstheme="minorAscii"/>
          <w:color w:val="000000"/>
          <w:sz w:val="22"/>
          <w:szCs w:val="22"/>
        </w:rPr>
        <w:t> </w:t>
      </w:r>
    </w:p>
    <w:p w:rsidR="0042407C" w:rsidP="506D5FB5" w:rsidRDefault="0042407C" w14:paraId="774E5E6A" w14:textId="0D1D0001">
      <w:pPr>
        <w:pStyle w:val="paragraph"/>
        <w:spacing w:before="0" w:beforeAutospacing="off" w:after="0" w:afterAutospacing="off"/>
        <w:ind w:left="-30" w:right="-30"/>
        <w:textAlignment w:val="baseline"/>
        <w:rPr>
          <w:rFonts w:ascii="Calibri" w:hAnsi="Calibri" w:eastAsia="Calibri" w:cs="Calibri" w:asciiTheme="minorAscii" w:hAnsiTheme="minorAscii" w:eastAsiaTheme="minorAscii" w:cstheme="minorAscii"/>
          <w:sz w:val="22"/>
          <w:szCs w:val="22"/>
        </w:rPr>
      </w:pPr>
      <w:r w:rsidRPr="506D5FB5" w:rsidR="0042407C">
        <w:rPr>
          <w:rStyle w:val="normaltextrun"/>
          <w:rFonts w:ascii="Calibri" w:hAnsi="Calibri" w:eastAsia="Calibri" w:cs="Calibri" w:asciiTheme="minorAscii" w:hAnsiTheme="minorAscii" w:eastAsiaTheme="minorAscii" w:cstheme="minorAscii"/>
          <w:i w:val="1"/>
          <w:iCs w:val="1"/>
          <w:color w:val="000000"/>
          <w:sz w:val="22"/>
          <w:szCs w:val="22"/>
        </w:rPr>
        <w:t xml:space="preserve">Reaching diverse communities in </w:t>
      </w:r>
      <w:r w:rsidRPr="506D5FB5" w:rsidR="0042407C">
        <w:rPr>
          <w:rStyle w:val="normaltextrun"/>
          <w:rFonts w:ascii="Calibri" w:hAnsi="Calibri" w:eastAsia="Calibri" w:cs="Calibri" w:asciiTheme="minorAscii" w:hAnsiTheme="minorAscii" w:eastAsiaTheme="minorAscii" w:cstheme="minorAscii"/>
          <w:i w:val="1"/>
          <w:iCs w:val="1"/>
          <w:color w:val="000000"/>
          <w:sz w:val="22"/>
          <w:szCs w:val="22"/>
        </w:rPr>
        <w:t>the Chesapeake</w:t>
      </w:r>
      <w:r w:rsidRPr="506D5FB5" w:rsidR="0042407C">
        <w:rPr>
          <w:rStyle w:val="normaltextrun"/>
          <w:rFonts w:ascii="Calibri" w:hAnsi="Calibri" w:eastAsia="Calibri" w:cs="Calibri" w:asciiTheme="minorAscii" w:hAnsiTheme="minorAscii" w:eastAsiaTheme="minorAscii" w:cstheme="minorAscii"/>
          <w:i w:val="1"/>
          <w:iCs w:val="1"/>
          <w:color w:val="000000"/>
          <w:sz w:val="22"/>
          <w:szCs w:val="22"/>
        </w:rPr>
        <w:t xml:space="preserve"> Bay</w:t>
      </w:r>
      <w:r w:rsidRPr="506D5FB5" w:rsidR="0042407C">
        <w:rPr>
          <w:rStyle w:val="normaltextrun"/>
          <w:rFonts w:ascii="Calibri" w:hAnsi="Calibri" w:eastAsia="Calibri" w:cs="Calibri" w:asciiTheme="minorAscii" w:hAnsiTheme="minorAscii" w:eastAsiaTheme="minorAscii" w:cstheme="minorAscii"/>
          <w:color w:val="000000"/>
          <w:sz w:val="22"/>
          <w:szCs w:val="22"/>
        </w:rPr>
        <w:t xml:space="preserve">. Vibrant Cities Lab. (n.d.). </w:t>
      </w:r>
      <w:hyperlink r:id="Ra405d4085c49412d">
        <w:r w:rsidRPr="506D5FB5" w:rsidR="0042407C">
          <w:rPr>
            <w:rStyle w:val="Hyperlink"/>
            <w:rFonts w:ascii="Calibri" w:hAnsi="Calibri" w:eastAsia="Calibri" w:cs="Calibri" w:asciiTheme="minorAscii" w:hAnsiTheme="minorAscii" w:eastAsiaTheme="minorAscii" w:cstheme="minorAscii"/>
            <w:sz w:val="22"/>
            <w:szCs w:val="22"/>
          </w:rPr>
          <w:t>https://www.vibrantcitieslab.com/case-studies/where-the-trees-are-and-where-theyre-not/</w:t>
        </w:r>
        <w:r w:rsidRPr="506D5FB5" w:rsidR="0042407C">
          <w:rPr>
            <w:rStyle w:val="Hyperlink"/>
            <w:rFonts w:ascii="Calibri" w:hAnsi="Calibri" w:eastAsia="Calibri" w:cs="Calibri" w:asciiTheme="minorAscii" w:hAnsiTheme="minorAscii" w:eastAsiaTheme="minorAscii" w:cstheme="minorAscii"/>
            <w:sz w:val="22"/>
            <w:szCs w:val="22"/>
          </w:rPr>
          <w:t> </w:t>
        </w:r>
      </w:hyperlink>
    </w:p>
    <w:p w:rsidR="0042407C" w:rsidP="506D5FB5" w:rsidRDefault="0042407C" w14:paraId="062719FC" w14:textId="77777777">
      <w:pPr>
        <w:pStyle w:val="paragraph"/>
        <w:spacing w:before="0" w:beforeAutospacing="off" w:after="0" w:afterAutospacing="off"/>
        <w:ind w:left="-30" w:right="-30"/>
        <w:textAlignment w:val="baseline"/>
        <w:rPr>
          <w:rStyle w:val="normaltextrun"/>
          <w:rFonts w:ascii="Calibri" w:hAnsi="Calibri" w:eastAsia="Calibri" w:cs="Calibri" w:asciiTheme="minorAscii" w:hAnsiTheme="minorAscii" w:eastAsiaTheme="minorAscii" w:cstheme="minorAscii"/>
          <w:i w:val="1"/>
          <w:iCs w:val="1"/>
          <w:color w:val="000000"/>
          <w:sz w:val="22"/>
          <w:szCs w:val="22"/>
        </w:rPr>
      </w:pPr>
    </w:p>
    <w:p w:rsidR="0042407C" w:rsidP="506D5FB5" w:rsidRDefault="0042407C" w14:paraId="1489130E" w14:textId="0225FB52">
      <w:pPr>
        <w:pStyle w:val="paragraph"/>
        <w:spacing w:before="0" w:beforeAutospacing="off" w:after="0" w:afterAutospacing="off"/>
        <w:ind w:left="-30" w:right="-30"/>
        <w:textAlignment w:val="baseline"/>
        <w:rPr>
          <w:rFonts w:ascii="Calibri" w:hAnsi="Calibri" w:eastAsia="Calibri" w:cs="Calibri" w:asciiTheme="minorAscii" w:hAnsiTheme="minorAscii" w:eastAsiaTheme="minorAscii" w:cstheme="minorAscii"/>
          <w:sz w:val="22"/>
          <w:szCs w:val="22"/>
        </w:rPr>
      </w:pPr>
      <w:r w:rsidRPr="506D5FB5" w:rsidR="0042407C">
        <w:rPr>
          <w:rStyle w:val="normaltextrun"/>
          <w:rFonts w:ascii="Calibri" w:hAnsi="Calibri" w:eastAsia="Calibri" w:cs="Calibri" w:asciiTheme="minorAscii" w:hAnsiTheme="minorAscii" w:eastAsiaTheme="minorAscii" w:cstheme="minorAscii"/>
          <w:i w:val="1"/>
          <w:iCs w:val="1"/>
          <w:color w:val="000000"/>
          <w:sz w:val="22"/>
          <w:szCs w:val="22"/>
        </w:rPr>
        <w:t>Urban Forestry Communications Toolkit. City of Seattle Urban Forestry Communication Toolkit</w:t>
      </w:r>
      <w:r w:rsidRPr="506D5FB5" w:rsidR="0042407C">
        <w:rPr>
          <w:rStyle w:val="normaltextrun"/>
          <w:rFonts w:ascii="Calibri" w:hAnsi="Calibri" w:eastAsia="Calibri" w:cs="Calibri" w:asciiTheme="minorAscii" w:hAnsiTheme="minorAscii" w:eastAsiaTheme="minorAscii" w:cstheme="minorAscii"/>
          <w:color w:val="000000"/>
          <w:sz w:val="22"/>
          <w:szCs w:val="22"/>
        </w:rPr>
        <w:t>. Seattle, Washington. OR: City of Seattle.</w:t>
      </w:r>
      <w:r w:rsidRPr="506D5FB5" w:rsidR="0042407C">
        <w:rPr>
          <w:rStyle w:val="eop"/>
          <w:rFonts w:ascii="Calibri" w:hAnsi="Calibri" w:eastAsia="Calibri" w:cs="Calibri" w:asciiTheme="minorAscii" w:hAnsiTheme="minorAscii" w:eastAsiaTheme="minorAscii" w:cstheme="minorAscii"/>
          <w:color w:val="000000"/>
          <w:sz w:val="22"/>
          <w:szCs w:val="22"/>
        </w:rPr>
        <w:t> </w:t>
      </w:r>
    </w:p>
    <w:p w:rsidRPr="00A63E0D" w:rsidR="000220D5" w:rsidP="506D5FB5" w:rsidRDefault="000220D5" w14:paraId="3BFAF030" w14:textId="49DEB3DE">
      <w:pPr>
        <w:pStyle w:val="Normal"/>
        <w:spacing w:before="0" w:beforeAutospacing="off" w:after="0" w:afterAutospacing="off"/>
        <w:rPr>
          <w:rStyle w:val="normaltextrun"/>
          <w:rFonts w:ascii="Calibri" w:hAnsi="Calibri" w:cs="Calibri"/>
          <w:color w:val="000000"/>
          <w:sz w:val="22"/>
          <w:szCs w:val="22"/>
        </w:rPr>
      </w:pPr>
    </w:p>
    <w:sectPr w:rsidRPr="00A63E0D" w:rsidR="000220D5" w:rsidSect="005F5F5C">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F5C" w:rsidP="00806CAA" w:rsidRDefault="005F5F5C" w14:paraId="3B6B7694" w14:textId="77777777">
      <w:pPr>
        <w:spacing w:after="0" w:line="240" w:lineRule="auto"/>
      </w:pPr>
      <w:r>
        <w:separator/>
      </w:r>
    </w:p>
  </w:endnote>
  <w:endnote w:type="continuationSeparator" w:id="0">
    <w:p w:rsidR="005F5F5C" w:rsidP="00806CAA" w:rsidRDefault="005F5F5C" w14:paraId="31C138D8" w14:textId="77777777">
      <w:pPr>
        <w:spacing w:after="0" w:line="240" w:lineRule="auto"/>
      </w:pPr>
      <w:r>
        <w:continuationSeparator/>
      </w:r>
    </w:p>
  </w:endnote>
  <w:endnote w:type="continuationNotice" w:id="1">
    <w:p w:rsidR="005F5F5C" w:rsidRDefault="005F5F5C" w14:paraId="2D4DD6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EndPr>
      <w:rPr>
        <w:rStyle w:val="PageNumber"/>
      </w:rPr>
    </w:sdtEnd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EndPr>
      <w:rPr>
        <w:rStyle w:val="PageNumber"/>
        <w:rFonts w:ascii="Arial" w:hAnsi="Arial" w:cs="Arial"/>
        <w:color w:val="227C12" w:themeColor="text2" w:themeTint="FF" w:themeShade="FF"/>
      </w:rPr>
    </w:sdtEnd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F5C" w:rsidP="00806CAA" w:rsidRDefault="005F5F5C" w14:paraId="25752F89" w14:textId="77777777">
      <w:pPr>
        <w:spacing w:after="0" w:line="240" w:lineRule="auto"/>
      </w:pPr>
      <w:r>
        <w:separator/>
      </w:r>
    </w:p>
  </w:footnote>
  <w:footnote w:type="continuationSeparator" w:id="0">
    <w:p w:rsidR="005F5F5C" w:rsidP="00806CAA" w:rsidRDefault="005F5F5C" w14:paraId="681D3951" w14:textId="77777777">
      <w:pPr>
        <w:spacing w:after="0" w:line="240" w:lineRule="auto"/>
      </w:pPr>
      <w:r>
        <w:continuationSeparator/>
      </w:r>
    </w:p>
  </w:footnote>
  <w:footnote w:type="continuationNotice" w:id="1">
    <w:p w:rsidR="005F5F5C" w:rsidRDefault="005F5F5C" w14:paraId="04632D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num w:numId="1" w16cid:durableId="711464868">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76EF"/>
    <w:rsid w:val="00020476"/>
    <w:rsid w:val="000220D5"/>
    <w:rsid w:val="00034930"/>
    <w:rsid w:val="000B321B"/>
    <w:rsid w:val="001B024E"/>
    <w:rsid w:val="00273A08"/>
    <w:rsid w:val="00354C7E"/>
    <w:rsid w:val="00376263"/>
    <w:rsid w:val="00391D74"/>
    <w:rsid w:val="003972A8"/>
    <w:rsid w:val="0042407C"/>
    <w:rsid w:val="00455DF0"/>
    <w:rsid w:val="00487FCD"/>
    <w:rsid w:val="004903A6"/>
    <w:rsid w:val="004905EA"/>
    <w:rsid w:val="004E4F70"/>
    <w:rsid w:val="00546E5A"/>
    <w:rsid w:val="00590EA3"/>
    <w:rsid w:val="005D052F"/>
    <w:rsid w:val="005F5F5C"/>
    <w:rsid w:val="00644BBC"/>
    <w:rsid w:val="0067150B"/>
    <w:rsid w:val="006A3959"/>
    <w:rsid w:val="006C5A53"/>
    <w:rsid w:val="006C7CF6"/>
    <w:rsid w:val="006D2E40"/>
    <w:rsid w:val="00720992"/>
    <w:rsid w:val="00806CAA"/>
    <w:rsid w:val="00867C35"/>
    <w:rsid w:val="008F0851"/>
    <w:rsid w:val="00970F1F"/>
    <w:rsid w:val="00996045"/>
    <w:rsid w:val="00A06B1D"/>
    <w:rsid w:val="00A26DFA"/>
    <w:rsid w:val="00A63E0D"/>
    <w:rsid w:val="00A94B83"/>
    <w:rsid w:val="00AAA338"/>
    <w:rsid w:val="00AB7745"/>
    <w:rsid w:val="00AD29EE"/>
    <w:rsid w:val="00AE4668"/>
    <w:rsid w:val="00B5514D"/>
    <w:rsid w:val="00B64072"/>
    <w:rsid w:val="00BF53BA"/>
    <w:rsid w:val="00C091F5"/>
    <w:rsid w:val="00C12D25"/>
    <w:rsid w:val="00C56055"/>
    <w:rsid w:val="00CA4238"/>
    <w:rsid w:val="00CF742B"/>
    <w:rsid w:val="00D75A2C"/>
    <w:rsid w:val="00D91336"/>
    <w:rsid w:val="00F21A79"/>
    <w:rsid w:val="00F400C3"/>
    <w:rsid w:val="00F82581"/>
    <w:rsid w:val="00FD1C5B"/>
    <w:rsid w:val="010650B7"/>
    <w:rsid w:val="016B8022"/>
    <w:rsid w:val="01EECE9B"/>
    <w:rsid w:val="01F9C4C4"/>
    <w:rsid w:val="02AF5855"/>
    <w:rsid w:val="03710DC3"/>
    <w:rsid w:val="03C8203F"/>
    <w:rsid w:val="04A320E4"/>
    <w:rsid w:val="06FFC101"/>
    <w:rsid w:val="088B5317"/>
    <w:rsid w:val="09547668"/>
    <w:rsid w:val="0A3761C3"/>
    <w:rsid w:val="0AEB1EAE"/>
    <w:rsid w:val="0BD33224"/>
    <w:rsid w:val="0C7D9258"/>
    <w:rsid w:val="0D3132A2"/>
    <w:rsid w:val="0DA3A010"/>
    <w:rsid w:val="0DB183C3"/>
    <w:rsid w:val="0E0EBF2E"/>
    <w:rsid w:val="0E39F743"/>
    <w:rsid w:val="10CD82F0"/>
    <w:rsid w:val="111DE8E6"/>
    <w:rsid w:val="118EB0A4"/>
    <w:rsid w:val="12AAB07B"/>
    <w:rsid w:val="142405AE"/>
    <w:rsid w:val="147E55A2"/>
    <w:rsid w:val="152D1F17"/>
    <w:rsid w:val="175BF86F"/>
    <w:rsid w:val="17BC0201"/>
    <w:rsid w:val="18FC029C"/>
    <w:rsid w:val="198C4FC2"/>
    <w:rsid w:val="1A8C0002"/>
    <w:rsid w:val="1B60E00D"/>
    <w:rsid w:val="1BCBCE43"/>
    <w:rsid w:val="1C69F536"/>
    <w:rsid w:val="1D29DC1E"/>
    <w:rsid w:val="1DC5B8F6"/>
    <w:rsid w:val="1E229865"/>
    <w:rsid w:val="234B5F7F"/>
    <w:rsid w:val="261EBA06"/>
    <w:rsid w:val="26C7B9C7"/>
    <w:rsid w:val="280354F4"/>
    <w:rsid w:val="29DF0299"/>
    <w:rsid w:val="2A13BE4D"/>
    <w:rsid w:val="2B5D8CA0"/>
    <w:rsid w:val="2BAF8EAE"/>
    <w:rsid w:val="2BDE0096"/>
    <w:rsid w:val="2C1AE969"/>
    <w:rsid w:val="2CCAE45D"/>
    <w:rsid w:val="2D2A84C9"/>
    <w:rsid w:val="2D356E9B"/>
    <w:rsid w:val="2D51C459"/>
    <w:rsid w:val="2D631744"/>
    <w:rsid w:val="2DC1FAA7"/>
    <w:rsid w:val="2EB54D60"/>
    <w:rsid w:val="2F1693AB"/>
    <w:rsid w:val="2F49B24F"/>
    <w:rsid w:val="314A668B"/>
    <w:rsid w:val="323C3E0B"/>
    <w:rsid w:val="32930DEA"/>
    <w:rsid w:val="32A08C00"/>
    <w:rsid w:val="32E414B1"/>
    <w:rsid w:val="33514358"/>
    <w:rsid w:val="34DB3832"/>
    <w:rsid w:val="3688E41A"/>
    <w:rsid w:val="371001B0"/>
    <w:rsid w:val="399B0FAB"/>
    <w:rsid w:val="3A27B3F6"/>
    <w:rsid w:val="3B36CD67"/>
    <w:rsid w:val="3C7B1DE1"/>
    <w:rsid w:val="3E2C1A13"/>
    <w:rsid w:val="3F55CE47"/>
    <w:rsid w:val="4394FC89"/>
    <w:rsid w:val="44C6F805"/>
    <w:rsid w:val="45640222"/>
    <w:rsid w:val="45F128E1"/>
    <w:rsid w:val="45FF2DB5"/>
    <w:rsid w:val="46D9A230"/>
    <w:rsid w:val="4730693B"/>
    <w:rsid w:val="484E5A70"/>
    <w:rsid w:val="489F0403"/>
    <w:rsid w:val="48ECA4A6"/>
    <w:rsid w:val="491572DB"/>
    <w:rsid w:val="49716785"/>
    <w:rsid w:val="4D833CCE"/>
    <w:rsid w:val="506D5FB5"/>
    <w:rsid w:val="51124A46"/>
    <w:rsid w:val="51888A0B"/>
    <w:rsid w:val="51C7C8E0"/>
    <w:rsid w:val="521230B8"/>
    <w:rsid w:val="52D48298"/>
    <w:rsid w:val="53236227"/>
    <w:rsid w:val="53324E5D"/>
    <w:rsid w:val="53E92301"/>
    <w:rsid w:val="5534CAFE"/>
    <w:rsid w:val="568839E5"/>
    <w:rsid w:val="56D09B5F"/>
    <w:rsid w:val="5767EE39"/>
    <w:rsid w:val="586C6BC0"/>
    <w:rsid w:val="59171CCF"/>
    <w:rsid w:val="5BA40C82"/>
    <w:rsid w:val="5C6AEEE8"/>
    <w:rsid w:val="5DA81276"/>
    <w:rsid w:val="5ED50B13"/>
    <w:rsid w:val="5EDBAD44"/>
    <w:rsid w:val="5FF051DB"/>
    <w:rsid w:val="617142D6"/>
    <w:rsid w:val="61E4F343"/>
    <w:rsid w:val="62A74094"/>
    <w:rsid w:val="6354C7FE"/>
    <w:rsid w:val="63A11612"/>
    <w:rsid w:val="652F896D"/>
    <w:rsid w:val="65591210"/>
    <w:rsid w:val="65765CFA"/>
    <w:rsid w:val="65876A28"/>
    <w:rsid w:val="65D8A46B"/>
    <w:rsid w:val="65F8DED6"/>
    <w:rsid w:val="666F041C"/>
    <w:rsid w:val="687111CE"/>
    <w:rsid w:val="68877695"/>
    <w:rsid w:val="6910783C"/>
    <w:rsid w:val="697E523C"/>
    <w:rsid w:val="6CB4D26B"/>
    <w:rsid w:val="6CEF2569"/>
    <w:rsid w:val="6D7A232F"/>
    <w:rsid w:val="6DA30243"/>
    <w:rsid w:val="6DDC295F"/>
    <w:rsid w:val="6EFFF2A5"/>
    <w:rsid w:val="70BD0E54"/>
    <w:rsid w:val="729EAC89"/>
    <w:rsid w:val="7329EB7D"/>
    <w:rsid w:val="73456EE0"/>
    <w:rsid w:val="744DBD0E"/>
    <w:rsid w:val="75E8777E"/>
    <w:rsid w:val="764E519B"/>
    <w:rsid w:val="7788F3D0"/>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a33d94b25b514eb5" /><Relationship Type="http://schemas.openxmlformats.org/officeDocument/2006/relationships/hyperlink" Target="https://www.oregon.gov/odf/Documents/forestbenefits/RegionalUCFGuidebook.pdf" TargetMode="External" Id="R231f220808e64554" /><Relationship Type="http://schemas.openxmlformats.org/officeDocument/2006/relationships/hyperlink" Target="https://www.seattle.gov/documents/Departments/UrbanForestryCommission/2014/2014docs/Scheiderer%20Partners%20Urban%20Forestry%20Toolkit%2003242014.pdf" TargetMode="External" Id="R8effea445fae4e57" /><Relationship Type="http://schemas.openxmlformats.org/officeDocument/2006/relationships/hyperlink" Target="https://www.vibrantcitieslab.com/case-studies/where-the-trees-are-and-where-theyre-not/" TargetMode="External" Id="R2a91371a43124901" /><Relationship Type="http://schemas.openxmlformats.org/officeDocument/2006/relationships/hyperlink" Target="https://www.vibrantcitieslab.com/case-studies/where-the-trees-are-and-where-theyre-not/&#160;" TargetMode="External" Id="Ra405d4085c49412d"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95855aa-f236-415a-a764-9963f1cbf4d7}"/>
      </w:docPartPr>
      <w:docPartBody>
        <w:p xmlns:wp14="http://schemas.microsoft.com/office/word/2010/wordml" w14:paraId="685507B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Props1.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2.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17</revision>
  <dcterms:created xsi:type="dcterms:W3CDTF">2024-04-19T23:58:00.0000000Z</dcterms:created>
  <dcterms:modified xsi:type="dcterms:W3CDTF">2024-06-13T14:58:17.6025804Z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