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5162F" w14:textId="7B47978A" w:rsidR="006D405C" w:rsidRDefault="00ED5EBC" w:rsidP="443FC185">
      <w:pPr>
        <w:rPr>
          <w:rFonts w:ascii="Arial" w:eastAsia="Arial" w:hAnsi="Arial" w:cs="Arial"/>
          <w:sz w:val="48"/>
          <w:szCs w:val="48"/>
        </w:rPr>
      </w:pPr>
      <w:r>
        <w:rPr>
          <w:rFonts w:ascii="Arial" w:hAnsi="Arial"/>
          <w:b/>
          <w:color w:val="237D12" w:themeColor="text2"/>
          <w:sz w:val="48"/>
        </w:rPr>
        <w:t xml:space="preserve">Beneficios económicos </w:t>
      </w:r>
    </w:p>
    <w:p w14:paraId="769F83C8" w14:textId="77777777" w:rsidR="00230D90" w:rsidRPr="002B273C" w:rsidRDefault="00230D90" w:rsidP="00230D90">
      <w:pPr>
        <w:rPr>
          <w:rFonts w:ascii="Arial" w:eastAsia="Arial" w:hAnsi="Arial" w:cs="Arial"/>
          <w:b/>
          <w:i/>
          <w:iCs/>
          <w:color w:val="237D12"/>
        </w:rPr>
      </w:pPr>
      <w:r>
        <w:rPr>
          <w:rFonts w:ascii="Arial" w:hAnsi="Arial"/>
          <w:b/>
          <w:i/>
          <w:color w:val="237D12"/>
        </w:rPr>
        <w:t>Una selección de datos y recursos respaldados por la investigación</w:t>
      </w:r>
    </w:p>
    <w:p w14:paraId="31E0BEF3" w14:textId="73E039C4" w:rsidR="006D405C" w:rsidRDefault="00ED5EBC" w:rsidP="633C5D15">
      <w:pPr>
        <w:rPr>
          <w:rFonts w:ascii="Arial" w:eastAsia="Arial" w:hAnsi="Arial" w:cs="Arial"/>
          <w:color w:val="434343"/>
        </w:rPr>
      </w:pPr>
      <w:r>
        <w:rPr>
          <w:rFonts w:ascii="Arial" w:hAnsi="Arial"/>
          <w:b/>
          <w:color w:val="237D12" w:themeColor="text2"/>
        </w:rPr>
        <w:t>2024</w:t>
      </w:r>
    </w:p>
    <w:p w14:paraId="160A3AC2" w14:textId="77777777" w:rsidR="006D405C" w:rsidRDefault="006D405C">
      <w:pPr>
        <w:rPr>
          <w:rFonts w:ascii="Arial" w:eastAsia="Arial" w:hAnsi="Arial" w:cs="Arial"/>
          <w:b/>
          <w:color w:val="237D12"/>
        </w:rPr>
      </w:pPr>
    </w:p>
    <w:p w14:paraId="217CED16" w14:textId="5DB9C0C6" w:rsidR="006D405C" w:rsidRPr="00F93300" w:rsidRDefault="00ED5EBC" w:rsidP="633C5D15">
      <w:pPr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Descripción general </w:t>
      </w:r>
    </w:p>
    <w:p w14:paraId="16806C8C" w14:textId="2ECAA1E8" w:rsidR="006D405C" w:rsidRPr="00F93300" w:rsidRDefault="1F78FA6F">
      <w:pPr>
        <w:rPr>
          <w:highlight w:val="white"/>
        </w:rPr>
      </w:pPr>
      <w:r>
        <w:rPr>
          <w:highlight w:val="white"/>
        </w:rPr>
        <w:t>Los árboles, los espacios verdes y la naturaleza proporcionan importantes beneficios económicos a las comunidades, entre los que se incluyen menores gastos de atención médica y energía y mayores oportunidades económicas.</w:t>
      </w:r>
    </w:p>
    <w:p w14:paraId="57D106F5" w14:textId="3A1D5ED4" w:rsidR="006D405C" w:rsidRPr="00F93300" w:rsidRDefault="00ED5EBC" w:rsidP="633C5D15">
      <w:pPr>
        <w:shd w:val="clear" w:color="auto" w:fill="FFFFFF" w:themeFill="background1"/>
        <w:ind w:left="20"/>
        <w:rPr>
          <w:color w:val="237D12" w:themeColor="text2"/>
        </w:rPr>
      </w:pPr>
      <w:r>
        <w:rPr>
          <w:b/>
          <w:color w:val="237D12" w:themeColor="text2"/>
        </w:rPr>
        <w:t>Costos de atención médica</w:t>
      </w:r>
      <w:r>
        <w:rPr>
          <w:color w:val="237D12" w:themeColor="text2"/>
        </w:rPr>
        <w:t xml:space="preserve"> </w:t>
      </w:r>
    </w:p>
    <w:p w14:paraId="0904C584" w14:textId="395C7CFC" w:rsidR="006D405C" w:rsidRDefault="00F93300">
      <w:pPr>
        <w:numPr>
          <w:ilvl w:val="0"/>
          <w:numId w:val="4"/>
        </w:numPr>
        <w:ind w:left="1080"/>
      </w:pPr>
      <w:r>
        <w:t xml:space="preserve">La plantación de árboles está asociada a la </w:t>
      </w:r>
      <w:r>
        <w:rPr>
          <w:b/>
        </w:rPr>
        <w:t>reducción de muertes cardiovasculares</w:t>
      </w:r>
      <w:r>
        <w:t xml:space="preserve">. Esta reducción es aun más visible a medida que los árboles envejecen y crecen (Donovan et al., 2022). </w:t>
      </w:r>
    </w:p>
    <w:p w14:paraId="171A0AA2" w14:textId="378A2E73" w:rsidR="006D405C" w:rsidRDefault="00F93300">
      <w:pPr>
        <w:numPr>
          <w:ilvl w:val="0"/>
          <w:numId w:val="4"/>
        </w:numPr>
        <w:ind w:left="1080"/>
      </w:pPr>
      <w:r>
        <w:rPr>
          <w:b/>
        </w:rPr>
        <w:t>La actividad física en los parques</w:t>
      </w:r>
      <w:r>
        <w:t xml:space="preserve"> influye en los ahorros en atención médica: entre $4 y $69.4 millones al año (Trust for Public Land, 2022).</w:t>
      </w:r>
    </w:p>
    <w:p w14:paraId="5D16ACBC" w14:textId="3BA07549" w:rsidR="006D405C" w:rsidRDefault="00ED5EBC">
      <w:pPr>
        <w:numPr>
          <w:ilvl w:val="0"/>
          <w:numId w:val="4"/>
        </w:numPr>
        <w:ind w:left="1080"/>
      </w:pPr>
      <w:r>
        <w:t xml:space="preserve">Tener acceso a elementos naturales (incluso vistas pasivas) contribuye a una </w:t>
      </w:r>
      <w:r>
        <w:rPr>
          <w:b/>
        </w:rPr>
        <w:t>recuperación quirúrgica y curación más rápidas</w:t>
      </w:r>
      <w:r>
        <w:t xml:space="preserve"> y umbrales de dolor más altos (Wolf et al., 2015).   </w:t>
      </w:r>
    </w:p>
    <w:p w14:paraId="49ED97DD" w14:textId="6CC82C0E" w:rsidR="006D405C" w:rsidRDefault="00ED5EBC">
      <w:pPr>
        <w:numPr>
          <w:ilvl w:val="0"/>
          <w:numId w:val="4"/>
        </w:numPr>
        <w:ind w:left="1080"/>
      </w:pPr>
      <w:r>
        <w:rPr>
          <w:b/>
        </w:rPr>
        <w:t>Los pacientes de edad avanzada</w:t>
      </w:r>
      <w:r>
        <w:t xml:space="preserve"> que participan en programas de terapia basada en la naturaleza informan tener mejor atención y menos estrés, necesidad de medicamentos y caídas (</w:t>
      </w:r>
      <w:hyperlink r:id="rId11" w:anchor="core-r29">
        <w:r>
          <w:t>Detweiler et al.</w:t>
        </w:r>
      </w:hyperlink>
      <w:hyperlink r:id="rId12" w:anchor="core-r29">
        <w:r>
          <w:t xml:space="preserve"> 2012</w:t>
        </w:r>
      </w:hyperlink>
      <w:r>
        <w:t xml:space="preserve">).  </w:t>
      </w:r>
    </w:p>
    <w:p w14:paraId="3AE7E4E2" w14:textId="77777777" w:rsidR="006D405C" w:rsidRPr="00F93300" w:rsidRDefault="00ED5EBC">
      <w:pPr>
        <w:shd w:val="clear" w:color="auto" w:fill="FFFFFF"/>
        <w:rPr>
          <w:color w:val="237D12" w:themeColor="text2"/>
        </w:rPr>
      </w:pPr>
      <w:r>
        <w:rPr>
          <w:color w:val="237D12" w:themeColor="text2"/>
        </w:rPr>
        <w:t xml:space="preserve"> </w:t>
      </w:r>
    </w:p>
    <w:p w14:paraId="6D4485A5" w14:textId="77777777" w:rsidR="006D405C" w:rsidRPr="00F93300" w:rsidRDefault="00ED5EBC">
      <w:pPr>
        <w:shd w:val="clear" w:color="auto" w:fill="FFFFFF"/>
        <w:rPr>
          <w:b/>
          <w:color w:val="237D12" w:themeColor="text2"/>
        </w:rPr>
      </w:pPr>
      <w:r>
        <w:rPr>
          <w:b/>
          <w:color w:val="237D12" w:themeColor="text2"/>
        </w:rPr>
        <w:t xml:space="preserve">Equilibrio entre vida laboral y personal, y retención laboral </w:t>
      </w:r>
    </w:p>
    <w:p w14:paraId="78C7F915" w14:textId="3940B14D" w:rsidR="006D405C" w:rsidRDefault="00ED5EBC">
      <w:pPr>
        <w:numPr>
          <w:ilvl w:val="0"/>
          <w:numId w:val="7"/>
        </w:numPr>
        <w:ind w:left="1080"/>
      </w:pPr>
      <w:r>
        <w:t>Las vistas de la naturaleza y las plantas de interior mejoran</w:t>
      </w:r>
      <w:r>
        <w:rPr>
          <w:b/>
        </w:rPr>
        <w:t xml:space="preserve"> la moral y satisfacción</w:t>
      </w:r>
      <w:r>
        <w:t xml:space="preserve"> de los empleados, disminuyen el ausentismo y aumentan la eficiencia (Wolf et al., 2015).  </w:t>
      </w:r>
    </w:p>
    <w:p w14:paraId="1476AE18" w14:textId="106A5453" w:rsidR="006D405C" w:rsidRDefault="00ED5EBC" w:rsidP="00F656A0">
      <w:pPr>
        <w:numPr>
          <w:ilvl w:val="0"/>
          <w:numId w:val="7"/>
        </w:numPr>
        <w:ind w:left="1080"/>
      </w:pPr>
      <w:r>
        <w:t xml:space="preserve">Los espacios verdes ayudan a los empleados a </w:t>
      </w:r>
      <w:r>
        <w:rPr>
          <w:b/>
        </w:rPr>
        <w:t>manejar el estrés y recargarse</w:t>
      </w:r>
      <w:r>
        <w:t xml:space="preserve"> (Wolf et al., 2015). </w:t>
      </w:r>
    </w:p>
    <w:p w14:paraId="28018E1C" w14:textId="77777777" w:rsidR="006D405C" w:rsidRDefault="00ED5EBC">
      <w:pPr>
        <w:shd w:val="clear" w:color="auto" w:fill="FFFFFF"/>
      </w:pPr>
      <w:r>
        <w:t xml:space="preserve"> </w:t>
      </w:r>
    </w:p>
    <w:p w14:paraId="29E80173" w14:textId="33A67775" w:rsidR="006D405C" w:rsidRPr="00F656A0" w:rsidRDefault="00ED5EBC" w:rsidP="633C5D15">
      <w:pPr>
        <w:shd w:val="clear" w:color="auto" w:fill="FFFFFF" w:themeFill="background1"/>
        <w:rPr>
          <w:b/>
          <w:bCs/>
          <w:color w:val="237D12" w:themeColor="text2"/>
        </w:rPr>
      </w:pPr>
      <w:r>
        <w:rPr>
          <w:color w:val="237D12" w:themeColor="text2"/>
        </w:rPr>
        <w:t xml:space="preserve"> </w:t>
      </w:r>
      <w:r>
        <w:rPr>
          <w:b/>
          <w:color w:val="237D12" w:themeColor="text2"/>
        </w:rPr>
        <w:t xml:space="preserve">Turismo </w:t>
      </w:r>
    </w:p>
    <w:p w14:paraId="448C6A60" w14:textId="7D763ED0" w:rsidR="006D405C" w:rsidRDefault="00ED5EBC">
      <w:pPr>
        <w:numPr>
          <w:ilvl w:val="0"/>
          <w:numId w:val="10"/>
        </w:numPr>
        <w:ind w:left="1080"/>
      </w:pPr>
      <w:r>
        <w:t xml:space="preserve">Los bosques y parques urbanos pueden desempeñar un papel significativo en la </w:t>
      </w:r>
      <w:r>
        <w:rPr>
          <w:b/>
        </w:rPr>
        <w:t>atracción del turismo</w:t>
      </w:r>
      <w:r>
        <w:t xml:space="preserve"> y los ingresos asociados (</w:t>
      </w:r>
      <w:hyperlink r:id="rId13" w:anchor="core-r28">
        <w:r>
          <w:t>Deng et al., 2010</w:t>
        </w:r>
      </w:hyperlink>
      <w:r>
        <w:t xml:space="preserve">). </w:t>
      </w:r>
    </w:p>
    <w:p w14:paraId="59D9B74B" w14:textId="77777777" w:rsidR="006D405C" w:rsidRPr="00F656A0" w:rsidRDefault="006D405C">
      <w:pPr>
        <w:shd w:val="clear" w:color="auto" w:fill="FFFFFF"/>
        <w:rPr>
          <w:color w:val="237D12" w:themeColor="text2"/>
        </w:rPr>
      </w:pPr>
    </w:p>
    <w:p w14:paraId="1059B0F5" w14:textId="77777777" w:rsidR="006D405C" w:rsidRPr="00F656A0" w:rsidRDefault="00ED5EBC">
      <w:pPr>
        <w:shd w:val="clear" w:color="auto" w:fill="FFFFFF"/>
        <w:rPr>
          <w:color w:val="237D12" w:themeColor="text2"/>
        </w:rPr>
      </w:pPr>
      <w:r>
        <w:rPr>
          <w:b/>
          <w:color w:val="237D12" w:themeColor="text2"/>
        </w:rPr>
        <w:t>Creación de empleos</w:t>
      </w:r>
      <w:r>
        <w:rPr>
          <w:color w:val="237D12" w:themeColor="text2"/>
        </w:rPr>
        <w:t xml:space="preserve"> </w:t>
      </w:r>
    </w:p>
    <w:p w14:paraId="32BEE91A" w14:textId="63362105" w:rsidR="006D405C" w:rsidRDefault="00ED5EBC" w:rsidP="00F656A0">
      <w:pPr>
        <w:numPr>
          <w:ilvl w:val="0"/>
          <w:numId w:val="6"/>
        </w:numPr>
        <w:ind w:left="1080"/>
      </w:pPr>
      <w:r>
        <w:t>Las iniciativas de plantación de árboles brindan oportunidades de empleo, desde la</w:t>
      </w:r>
      <w:r>
        <w:rPr>
          <w:b/>
        </w:rPr>
        <w:t xml:space="preserve"> plantación inicial hasta el mantenimiento continuo.</w:t>
      </w:r>
      <w:r>
        <w:t xml:space="preserve"> </w:t>
      </w:r>
      <w:hyperlink r:id="rId14">
        <w:r>
          <w:t>Detroit Tree Equity Partnership</w:t>
        </w:r>
      </w:hyperlink>
      <w:r>
        <w:t xml:space="preserve"> está creando 300 empleos a través de su programa para plantar 75,000 árboles (Greening of Detroit, 2022). </w:t>
      </w:r>
    </w:p>
    <w:p w14:paraId="0BD608B0" w14:textId="5185A342" w:rsidR="006D405C" w:rsidRDefault="00F656A0">
      <w:pPr>
        <w:numPr>
          <w:ilvl w:val="0"/>
          <w:numId w:val="6"/>
        </w:numPr>
        <w:ind w:left="1080"/>
      </w:pPr>
      <w:r>
        <w:lastRenderedPageBreak/>
        <w:t xml:space="preserve">La campaña 2007-2015 MillionTrees NYC ofreció </w:t>
      </w:r>
      <w:r>
        <w:rPr>
          <w:b/>
        </w:rPr>
        <w:t>capacitación, servicios sociales integrales y asistencia para la inserción laboral</w:t>
      </w:r>
      <w:r>
        <w:t xml:space="preserve"> en la gestión de bosques urbanos para adultos jóvenes que estaban fuera de la fuerza laboral (Campbell, 2022). </w:t>
      </w:r>
    </w:p>
    <w:p w14:paraId="2D1808D4" w14:textId="77777777" w:rsidR="006D405C" w:rsidRDefault="00ED5EBC">
      <w:pPr>
        <w:numPr>
          <w:ilvl w:val="0"/>
          <w:numId w:val="6"/>
        </w:numPr>
        <w:ind w:left="1080"/>
      </w:pPr>
      <w:r>
        <w:t xml:space="preserve">Nature Conservancy y American Forests tienen programas nacionales enfocados en educar y hacer crecer la </w:t>
      </w:r>
      <w:r>
        <w:rPr>
          <w:b/>
        </w:rPr>
        <w:t>fuerza laboral verde</w:t>
      </w:r>
      <w:r>
        <w:t xml:space="preserve"> (Campbell, 2022). </w:t>
      </w:r>
    </w:p>
    <w:p w14:paraId="0E176C09" w14:textId="77777777" w:rsidR="006D405C" w:rsidRDefault="006D405C">
      <w:pPr>
        <w:shd w:val="clear" w:color="auto" w:fill="FFFFFF"/>
        <w:rPr>
          <w:color w:val="434343"/>
        </w:rPr>
      </w:pPr>
    </w:p>
    <w:p w14:paraId="33983F88" w14:textId="77777777" w:rsidR="006D405C" w:rsidRPr="00F656A0" w:rsidRDefault="00ED5EBC">
      <w:pPr>
        <w:shd w:val="clear" w:color="auto" w:fill="FFFFFF"/>
        <w:rPr>
          <w:b/>
          <w:color w:val="237D12" w:themeColor="text2"/>
        </w:rPr>
      </w:pPr>
      <w:r>
        <w:rPr>
          <w:b/>
          <w:color w:val="237D12" w:themeColor="text2"/>
        </w:rPr>
        <w:t xml:space="preserve">Ahorros de energía </w:t>
      </w:r>
    </w:p>
    <w:p w14:paraId="18375DC0" w14:textId="784568C8" w:rsidR="002F7761" w:rsidRDefault="00ED5EBC">
      <w:pPr>
        <w:numPr>
          <w:ilvl w:val="0"/>
          <w:numId w:val="9"/>
        </w:numPr>
        <w:ind w:left="1080"/>
      </w:pPr>
      <w:r>
        <w:t xml:space="preserve">Los árboles ofrecen </w:t>
      </w:r>
      <w:r>
        <w:rPr>
          <w:b/>
        </w:rPr>
        <w:t>sombra, mejoran la calidad del aire y proporcionan enfriamiento natural</w:t>
      </w:r>
      <w:r>
        <w:t>, reduciendo la necesidad de aire acondicionado y disminuyendo el consumo de energía (Wolf et al., 2015).</w:t>
      </w:r>
    </w:p>
    <w:p w14:paraId="72CA08F6" w14:textId="3C54B1D7" w:rsidR="006D405C" w:rsidRDefault="00ED5EBC">
      <w:pPr>
        <w:numPr>
          <w:ilvl w:val="0"/>
          <w:numId w:val="9"/>
        </w:numPr>
        <w:ind w:left="1080"/>
      </w:pPr>
      <w:r>
        <w:rPr>
          <w:b/>
        </w:rPr>
        <w:t>Los parques pueden ser hasta 2 °F más fríos</w:t>
      </w:r>
      <w:r>
        <w:t xml:space="preserve"> que el área urbana circundante en el día; una gran cantidad de árboles y amplios espacios verdes en una ciudad pueden reducir las temperaturas del aire local hasta en 9 °F (Wolf et al., 2015). </w:t>
      </w:r>
    </w:p>
    <w:p w14:paraId="4BC6CD49" w14:textId="5863478E" w:rsidR="006D405C" w:rsidRDefault="00ED5EBC">
      <w:pPr>
        <w:numPr>
          <w:ilvl w:val="0"/>
          <w:numId w:val="9"/>
        </w:numPr>
        <w:ind w:left="1080"/>
      </w:pPr>
      <w:r>
        <w:t xml:space="preserve">Los árboles de hoja perenne que bloquean los vientos de invierno pueden ahorrar un 3% en </w:t>
      </w:r>
      <w:r>
        <w:rPr>
          <w:b/>
        </w:rPr>
        <w:t>calefacción</w:t>
      </w:r>
      <w:r>
        <w:t xml:space="preserve"> (The Mortan Arboretum, sin fecha). </w:t>
      </w:r>
    </w:p>
    <w:p w14:paraId="24BE568B" w14:textId="77777777" w:rsidR="006D405C" w:rsidRDefault="006D405C">
      <w:pPr>
        <w:shd w:val="clear" w:color="auto" w:fill="FFFFFF"/>
        <w:rPr>
          <w:color w:val="434343"/>
        </w:rPr>
      </w:pPr>
    </w:p>
    <w:p w14:paraId="350AD0FD" w14:textId="77777777" w:rsidR="006D405C" w:rsidRPr="002F7761" w:rsidRDefault="00ED5EBC">
      <w:pPr>
        <w:shd w:val="clear" w:color="auto" w:fill="FFFFFF"/>
        <w:rPr>
          <w:b/>
          <w:color w:val="237D12" w:themeColor="text2"/>
        </w:rPr>
      </w:pPr>
      <w:r>
        <w:rPr>
          <w:b/>
          <w:color w:val="237D12" w:themeColor="text2"/>
        </w:rPr>
        <w:t xml:space="preserve">Valores de mercado y no comerciales </w:t>
      </w:r>
    </w:p>
    <w:p w14:paraId="38A10248" w14:textId="456C6510" w:rsidR="002F7761" w:rsidRDefault="00ED5EBC">
      <w:pPr>
        <w:numPr>
          <w:ilvl w:val="0"/>
          <w:numId w:val="5"/>
        </w:numPr>
        <w:ind w:left="1080"/>
      </w:pPr>
      <w:r>
        <w:t xml:space="preserve">Con los árboles </w:t>
      </w:r>
      <w:r>
        <w:rPr>
          <w:b/>
        </w:rPr>
        <w:t>se obtienen productos</w:t>
      </w:r>
      <w:r>
        <w:t xml:space="preserve"> (con valor de mercado) como muebles de madera, papel y madera (Cavendar-Barres et al., 2022).</w:t>
      </w:r>
    </w:p>
    <w:p w14:paraId="7B00401D" w14:textId="60AAEDA8" w:rsidR="006D405C" w:rsidRDefault="00363D42">
      <w:pPr>
        <w:numPr>
          <w:ilvl w:val="0"/>
          <w:numId w:val="5"/>
        </w:numPr>
        <w:ind w:left="1080"/>
      </w:pPr>
      <w:r>
        <w:t xml:space="preserve">También producen </w:t>
      </w:r>
      <w:r>
        <w:rPr>
          <w:b/>
        </w:rPr>
        <w:t xml:space="preserve">un valor que no es de mercado </w:t>
      </w:r>
      <w:r>
        <w:t xml:space="preserve">a partir de servicios como el </w:t>
      </w:r>
      <w:r>
        <w:rPr>
          <w:b/>
        </w:rPr>
        <w:t>almacenamiento de carbono</w:t>
      </w:r>
      <w:r>
        <w:t xml:space="preserve"> y la filtración de </w:t>
      </w:r>
      <w:r>
        <w:rPr>
          <w:b/>
        </w:rPr>
        <w:t>contaminantes del aire</w:t>
      </w:r>
      <w:r>
        <w:t xml:space="preserve">, que supera con creces su valor comercial (Cavendar-Barres et al., 2022).  </w:t>
      </w:r>
    </w:p>
    <w:p w14:paraId="53A8A04E" w14:textId="16EC7A23" w:rsidR="006D405C" w:rsidRDefault="00ED5EBC">
      <w:pPr>
        <w:numPr>
          <w:ilvl w:val="0"/>
          <w:numId w:val="5"/>
        </w:numPr>
        <w:ind w:left="1080"/>
      </w:pPr>
      <w:r>
        <w:t xml:space="preserve">Los expertos han determinado que cada dólar invertido en la plantación y la gestión de árboles genera </w:t>
      </w:r>
      <w:r>
        <w:rPr>
          <w:b/>
        </w:rPr>
        <w:t>rendimientos de hasta el 500%.</w:t>
      </w:r>
      <w:r>
        <w:t xml:space="preserve"> (The Morton Arboretum, sin fecha). </w:t>
      </w:r>
    </w:p>
    <w:p w14:paraId="071AAF46" w14:textId="585FDAD1" w:rsidR="006D405C" w:rsidRDefault="00ED5EBC">
      <w:pPr>
        <w:numPr>
          <w:ilvl w:val="0"/>
          <w:numId w:val="5"/>
        </w:numPr>
        <w:ind w:left="1080"/>
      </w:pPr>
      <w:r>
        <w:t xml:space="preserve">Un </w:t>
      </w:r>
      <w:r>
        <w:rPr>
          <w:b/>
        </w:rPr>
        <w:t>solo árbol</w:t>
      </w:r>
      <w:r>
        <w:t xml:space="preserve"> puede proporcionar </w:t>
      </w:r>
      <w:r>
        <w:rPr>
          <w:b/>
        </w:rPr>
        <w:t xml:space="preserve">beneficios equivalentes a $20,000 </w:t>
      </w:r>
      <w:r>
        <w:t xml:space="preserve"> a lo largo de su vida (</w:t>
      </w:r>
      <w:r>
        <w:rPr>
          <w:i/>
        </w:rPr>
        <w:t>The Social Benefits of Trees: How Trees Provide Value for Our Economy, Health, and Environment</w:t>
      </w:r>
      <w:r>
        <w:t xml:space="preserve">, sin fecha). </w:t>
      </w:r>
    </w:p>
    <w:p w14:paraId="25C2C93A" w14:textId="77777777" w:rsidR="006D405C" w:rsidRPr="00363D42" w:rsidRDefault="00ED5EBC">
      <w:pPr>
        <w:shd w:val="clear" w:color="auto" w:fill="FFFFFF"/>
        <w:rPr>
          <w:color w:val="237D12" w:themeColor="text2"/>
        </w:rPr>
      </w:pPr>
      <w:r>
        <w:rPr>
          <w:color w:val="237D12" w:themeColor="text2"/>
        </w:rPr>
        <w:t xml:space="preserve"> </w:t>
      </w:r>
    </w:p>
    <w:p w14:paraId="3CAE83C5" w14:textId="77777777" w:rsidR="006D405C" w:rsidRPr="00363D42" w:rsidRDefault="00ED5EBC">
      <w:pPr>
        <w:shd w:val="clear" w:color="auto" w:fill="FFFFFF"/>
        <w:rPr>
          <w:b/>
          <w:color w:val="237D12" w:themeColor="text2"/>
        </w:rPr>
      </w:pPr>
      <w:r>
        <w:rPr>
          <w:b/>
          <w:color w:val="237D12" w:themeColor="text2"/>
        </w:rPr>
        <w:t xml:space="preserve">Valores de propiedad </w:t>
      </w:r>
    </w:p>
    <w:p w14:paraId="0E020445" w14:textId="05AAD430" w:rsidR="006D405C" w:rsidRDefault="00363D42">
      <w:pPr>
        <w:numPr>
          <w:ilvl w:val="0"/>
          <w:numId w:val="1"/>
        </w:numPr>
        <w:ind w:left="1080"/>
      </w:pPr>
      <w:r>
        <w:t xml:space="preserve">Los árboles cercanos, especialmente los grandes, pueden </w:t>
      </w:r>
      <w:r>
        <w:rPr>
          <w:b/>
        </w:rPr>
        <w:t>aumentar el precio de una casa</w:t>
      </w:r>
      <w:r>
        <w:t xml:space="preserve"> del 2% al 15%. Los gobiernos locales capturan esos efectos en los precios en los impuestos sobre las ventas o la propiedad en todos los vecindarios. (Goodwin, 2014). </w:t>
      </w:r>
    </w:p>
    <w:p w14:paraId="7E6A8D86" w14:textId="77777777" w:rsidR="006D405C" w:rsidRDefault="00ED5EBC">
      <w:pPr>
        <w:numPr>
          <w:ilvl w:val="0"/>
          <w:numId w:val="1"/>
        </w:numPr>
        <w:ind w:left="1080"/>
      </w:pPr>
      <w:r>
        <w:t xml:space="preserve">Los árboles y arbustos pueden </w:t>
      </w:r>
      <w:r>
        <w:rPr>
          <w:b/>
        </w:rPr>
        <w:t>reducir significativamente el ruido</w:t>
      </w:r>
      <w:r>
        <w:t xml:space="preserve"> y tener un impacto positivo en los valores de la propiedad (</w:t>
      </w:r>
      <w:hyperlink r:id="rId15" w:anchor="core-r96">
        <w:r>
          <w:t>Nowak et al.</w:t>
        </w:r>
      </w:hyperlink>
      <w:hyperlink r:id="rId16" w:anchor="core-r96">
        <w:r>
          <w:t xml:space="preserve"> 2010</w:t>
        </w:r>
      </w:hyperlink>
      <w:r>
        <w:t xml:space="preserve">). </w:t>
      </w:r>
    </w:p>
    <w:p w14:paraId="58C4524D" w14:textId="77777777" w:rsidR="006D405C" w:rsidRPr="00363D42" w:rsidRDefault="00ED5EBC">
      <w:pPr>
        <w:shd w:val="clear" w:color="auto" w:fill="FFFFFF"/>
        <w:ind w:left="720"/>
        <w:rPr>
          <w:color w:val="237D12" w:themeColor="text2"/>
        </w:rPr>
      </w:pPr>
      <w:r>
        <w:rPr>
          <w:color w:val="237D12" w:themeColor="text2"/>
        </w:rPr>
        <w:lastRenderedPageBreak/>
        <w:t xml:space="preserve"> </w:t>
      </w:r>
    </w:p>
    <w:p w14:paraId="7EDDD51F" w14:textId="77777777" w:rsidR="006D405C" w:rsidRPr="00B23CC1" w:rsidRDefault="00ED5EBC">
      <w:pPr>
        <w:shd w:val="clear" w:color="auto" w:fill="FFFFFF"/>
        <w:rPr>
          <w:b/>
          <w:color w:val="237D12" w:themeColor="text2"/>
        </w:rPr>
      </w:pPr>
      <w:r>
        <w:rPr>
          <w:b/>
          <w:color w:val="237D12" w:themeColor="text2"/>
        </w:rPr>
        <w:t xml:space="preserve">Escorrentía de aguas pluviales </w:t>
      </w:r>
    </w:p>
    <w:p w14:paraId="450E1F5A" w14:textId="1C111878" w:rsidR="00B23CC1" w:rsidRDefault="00ED5EBC">
      <w:pPr>
        <w:numPr>
          <w:ilvl w:val="0"/>
          <w:numId w:val="3"/>
        </w:numPr>
        <w:ind w:left="1080"/>
      </w:pPr>
      <w:r>
        <w:t xml:space="preserve">Los árboles y el suelo mejoran la </w:t>
      </w:r>
      <w:r>
        <w:rPr>
          <w:b/>
        </w:rPr>
        <w:t>calidad del agua</w:t>
      </w:r>
      <w:r>
        <w:t xml:space="preserve"> al eliminar sustancias nocivas de las vías, estacionamientos y techos durante las lluvias o caídas de nieve (Wolf et al, 2015).</w:t>
      </w:r>
    </w:p>
    <w:p w14:paraId="1F45F53C" w14:textId="0A16AA8D" w:rsidR="006D405C" w:rsidRDefault="00ED5EBC">
      <w:pPr>
        <w:numPr>
          <w:ilvl w:val="0"/>
          <w:numId w:val="3"/>
        </w:numPr>
        <w:ind w:left="1080"/>
      </w:pPr>
      <w:r>
        <w:t xml:space="preserve">La vegetación puede </w:t>
      </w:r>
      <w:r>
        <w:rPr>
          <w:b/>
        </w:rPr>
        <w:t>reducir la necesidad de un tratamiento costoso de aguas pluviales</w:t>
      </w:r>
      <w:r>
        <w:t xml:space="preserve"> al retener o ralentizar el flujo de precipitación que llega al suelo (Wolf et al, 2015). </w:t>
      </w:r>
    </w:p>
    <w:p w14:paraId="7F20AB40" w14:textId="73800DD3" w:rsidR="633C5D15" w:rsidRDefault="633C5D15" w:rsidP="633C5D15"/>
    <w:p w14:paraId="6FD47568" w14:textId="77777777" w:rsidR="2E64DB13" w:rsidRDefault="2E64DB13" w:rsidP="633C5D15">
      <w:pPr>
        <w:shd w:val="clear" w:color="auto" w:fill="FFFFFF" w:themeFill="background1"/>
        <w:rPr>
          <w:color w:val="237D12" w:themeColor="text2"/>
        </w:rPr>
      </w:pPr>
      <w:r>
        <w:rPr>
          <w:b/>
          <w:color w:val="237D12" w:themeColor="text2"/>
        </w:rPr>
        <w:t xml:space="preserve">Distritos de compras </w:t>
      </w:r>
      <w:r>
        <w:rPr>
          <w:color w:val="237D12" w:themeColor="text2"/>
        </w:rPr>
        <w:t xml:space="preserve"> </w:t>
      </w:r>
    </w:p>
    <w:p w14:paraId="3173C7C5" w14:textId="595105CF" w:rsidR="2E64DB13" w:rsidRDefault="2E64DB13" w:rsidP="633C5D15">
      <w:pPr>
        <w:numPr>
          <w:ilvl w:val="0"/>
          <w:numId w:val="8"/>
        </w:numPr>
        <w:ind w:left="1080"/>
      </w:pPr>
      <w:r>
        <w:t xml:space="preserve">Los compradores responden a la estética general de su experiencia de compra, </w:t>
      </w:r>
      <w:r>
        <w:rPr>
          <w:b/>
        </w:rPr>
        <w:t>viajarán más lejos</w:t>
      </w:r>
      <w:r>
        <w:t xml:space="preserve"> para comprar en distritos comerciales arbolados y </w:t>
      </w:r>
      <w:r>
        <w:rPr>
          <w:b/>
        </w:rPr>
        <w:t>pasarán más tiempo y gastarán más dinero</w:t>
      </w:r>
      <w:r>
        <w:t xml:space="preserve"> una vez que estén allí.  Reportan compras más frecuentes y disposición a gastar un 12% más en bienes (Goodwin, 2014).</w:t>
      </w:r>
    </w:p>
    <w:p w14:paraId="6453E8B8" w14:textId="02447ECA" w:rsidR="633C5D15" w:rsidRDefault="633C5D15" w:rsidP="633C5D15"/>
    <w:p w14:paraId="3F05A9D0" w14:textId="2C0E88BC" w:rsidR="633C5D15" w:rsidRDefault="633C5D15" w:rsidP="633C5D15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291E3854" w14:textId="5A5236F1" w:rsidR="006D405C" w:rsidRPr="00F93300" w:rsidRDefault="00ED5EBC" w:rsidP="633C5D15">
      <w:pPr>
        <w:rPr>
          <w:rFonts w:ascii="Arial" w:eastAsia="Arial" w:hAnsi="Arial" w:cs="Arial"/>
          <w:b/>
          <w:bCs/>
          <w:color w:val="237D1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Referencias </w:t>
      </w:r>
    </w:p>
    <w:p w14:paraId="0763AF2F" w14:textId="4187775E" w:rsidR="006D405C" w:rsidRPr="00B23CC1" w:rsidRDefault="00ED5EBC">
      <w:pPr>
        <w:shd w:val="clear" w:color="auto" w:fill="FFFFFF"/>
        <w:rPr>
          <w:color w:val="0563C1"/>
        </w:rPr>
      </w:pPr>
      <w:r>
        <w:t xml:space="preserve">Campbell, L. K.; Svendsen, E. S.; Johnson, M. L.; y Plitt, S. (2022). Not by trees alone: Centering community in urban forestry. </w:t>
      </w:r>
      <w:r>
        <w:rPr>
          <w:i/>
        </w:rPr>
        <w:t>Landscape and Urban Planning</w:t>
      </w:r>
      <w:r>
        <w:t xml:space="preserve">, </w:t>
      </w:r>
      <w:r>
        <w:rPr>
          <w:i/>
        </w:rPr>
        <w:t>224</w:t>
      </w:r>
      <w:r>
        <w:t>, 104445.</w:t>
      </w:r>
      <w:hyperlink r:id="rId17">
        <w: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https://doi.org/10.1016/j.landurbplan.2022.104445 </w:t>
      </w:r>
      <w:r>
        <w:rPr>
          <w:color w:val="0563C1"/>
        </w:rPr>
        <w:t xml:space="preserve"> </w:t>
      </w:r>
    </w:p>
    <w:p w14:paraId="16444830" w14:textId="77777777" w:rsidR="006D405C" w:rsidRDefault="00ED5EBC">
      <w:pPr>
        <w:shd w:val="clear" w:color="auto" w:fill="FFFFFF"/>
      </w:pPr>
      <w:r>
        <w:t xml:space="preserve"> </w:t>
      </w:r>
    </w:p>
    <w:p w14:paraId="5492100F" w14:textId="333137A2" w:rsidR="006D405C" w:rsidRPr="00B23CC1" w:rsidRDefault="00ED5EBC">
      <w:pPr>
        <w:shd w:val="clear" w:color="auto" w:fill="FFFFFF"/>
        <w:rPr>
          <w:color w:val="0563C1"/>
        </w:rPr>
      </w:pPr>
      <w:r>
        <w:t xml:space="preserve">Cavender‐Bares, J.; Nelson, E.; Meireles, J. E.; Lasky, J. R.; Miteva, D. A.; Nowak, D. J.; Pearse, W. D.; Helmus, M. R.; Zanne, A. E.; Fagan, W. F.; Mihiar, C.; Muller, N. Z.; Kraft, N. J. B. y Polasky, S. (2022). The hidden value of trees: Quantifying the ecosystem services of tree lineages and their major threats across the contiguous US. </w:t>
      </w:r>
      <w:r>
        <w:rPr>
          <w:i/>
        </w:rPr>
        <w:t>PLOS Sustainability and Transformation</w:t>
      </w:r>
      <w:r>
        <w:t xml:space="preserve">, </w:t>
      </w:r>
      <w:r>
        <w:rPr>
          <w:i/>
        </w:rPr>
        <w:t>1</w:t>
      </w:r>
      <w:r>
        <w:t>(4), e0000010.</w:t>
      </w:r>
      <w:hyperlink r:id="rId18">
        <w: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https://doi.org/10.1371/journal.pstr.0000010</w:t>
      </w:r>
      <w:r>
        <w:rPr>
          <w:color w:val="0563C1"/>
        </w:rPr>
        <w:t xml:space="preserve"> </w:t>
      </w:r>
    </w:p>
    <w:p w14:paraId="027EF941" w14:textId="77777777" w:rsidR="006D405C" w:rsidRDefault="00ED5EBC">
      <w:pPr>
        <w:shd w:val="clear" w:color="auto" w:fill="FFFFFF"/>
      </w:pPr>
      <w:r>
        <w:t xml:space="preserve"> </w:t>
      </w:r>
    </w:p>
    <w:p w14:paraId="5C2CD202" w14:textId="77777777" w:rsidR="006D405C" w:rsidRPr="001B3325" w:rsidRDefault="00ED5EBC">
      <w:pPr>
        <w:shd w:val="clear" w:color="auto" w:fill="FFFFFF"/>
        <w:rPr>
          <w:rStyle w:val="tw4winExternal"/>
        </w:rPr>
      </w:pPr>
      <w:r>
        <w:t xml:space="preserve">Deng, J.; Arano K. G.; Pierskalla, C. y McNeel, J. F. (2010). Linking urban forests and urban tourism: a case of Savannah, Georgia. </w:t>
      </w:r>
      <w:r>
        <w:rPr>
          <w:i/>
        </w:rPr>
        <w:t>Tourism Analysis</w:t>
      </w:r>
      <w:r>
        <w:t xml:space="preserve">, </w:t>
      </w:r>
      <w:r>
        <w:rPr>
          <w:i/>
        </w:rPr>
        <w:t>15</w:t>
      </w:r>
      <w:r>
        <w:t xml:space="preserve">(2), 167–181. </w:t>
      </w: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https://doi.org/10.3727/108354210x12724863327641</w:t>
      </w:r>
      <w:r>
        <w:rPr>
          <w:rStyle w:val="tw4winExternal"/>
        </w:rPr>
        <w:t xml:space="preserve"> </w:t>
      </w:r>
    </w:p>
    <w:p w14:paraId="3E8174B0" w14:textId="77777777" w:rsidR="006D405C" w:rsidRPr="00B23CC1" w:rsidRDefault="00ED5EBC">
      <w:pPr>
        <w:shd w:val="clear" w:color="auto" w:fill="FFFFFF"/>
        <w:rPr>
          <w:color w:val="0563C1"/>
        </w:rPr>
      </w:pPr>
      <w:r>
        <w:rPr>
          <w:color w:val="0563C1"/>
        </w:rPr>
        <w:t xml:space="preserve"> </w:t>
      </w:r>
    </w:p>
    <w:p w14:paraId="07666C3E" w14:textId="77777777" w:rsidR="006D405C" w:rsidRDefault="00ED5EBC">
      <w:pPr>
        <w:shd w:val="clear" w:color="auto" w:fill="FFFFFF"/>
      </w:pPr>
      <w:r>
        <w:t>Detweiler, M. B.; Sharma, T. R.; Detweiler, J. G.; Murphy, P. F.; Lane, S. D.; Carman, J.; Chudhary, A. S.; Halling, M. H. y Kim, K. Y. (2012). What is the evidence to support the use of therapeutic gardens for the elderly? </w:t>
      </w:r>
      <w:r>
        <w:rPr>
          <w:i/>
        </w:rPr>
        <w:t>Psychiatry Investigation</w:t>
      </w:r>
      <w:r>
        <w:t>, </w:t>
      </w:r>
      <w:r>
        <w:rPr>
          <w:i/>
        </w:rPr>
        <w:t>9</w:t>
      </w:r>
      <w:r>
        <w:t>(2), 100.</w:t>
      </w: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 xml:space="preserve"> https://doi.org/10.4306/pi.2012.9.2.100 </w:t>
      </w:r>
    </w:p>
    <w:p w14:paraId="7F533400" w14:textId="77777777" w:rsidR="006D405C" w:rsidRDefault="00ED5EBC">
      <w:pPr>
        <w:shd w:val="clear" w:color="auto" w:fill="FFFFFF"/>
      </w:pPr>
      <w:r>
        <w:t xml:space="preserve"> </w:t>
      </w:r>
    </w:p>
    <w:p w14:paraId="35FEEE05" w14:textId="76467F41" w:rsidR="006D405C" w:rsidRPr="00B23CC1" w:rsidRDefault="00ED5EBC">
      <w:pPr>
        <w:shd w:val="clear" w:color="auto" w:fill="FFFFFF"/>
        <w:rPr>
          <w:color w:val="0563C1"/>
        </w:rPr>
      </w:pPr>
      <w:r>
        <w:lastRenderedPageBreak/>
        <w:t xml:space="preserve">Donovan, G. H.; Prestemon, J. P. y Kaminski, A. R. (2022). The natural environment and social cohesion: Tree planting is associated with increased voter turnout in Portland, Oregon. </w:t>
      </w:r>
      <w:r>
        <w:rPr>
          <w:i/>
        </w:rPr>
        <w:t>Trees, Forests and People</w:t>
      </w:r>
      <w:r>
        <w:t xml:space="preserve">, </w:t>
      </w:r>
      <w:r>
        <w:rPr>
          <w:i/>
        </w:rPr>
        <w:t>7</w:t>
      </w:r>
      <w:r>
        <w:t>, 100215.</w:t>
      </w:r>
      <w:hyperlink r:id="rId19">
        <w:r>
          <w:rPr>
            <w:rStyle w:val="tw4winExternal"/>
          </w:rP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https://doi.org/10.1016/j.tfp.2022.100215</w:t>
      </w:r>
      <w:r>
        <w:rPr>
          <w:rStyle w:val="tw4winExternal"/>
        </w:rPr>
        <w:t xml:space="preserve"> </w:t>
      </w:r>
    </w:p>
    <w:p w14:paraId="0FFDFFC6" w14:textId="77777777" w:rsidR="006D405C" w:rsidRPr="00B23CC1" w:rsidRDefault="00ED5EBC">
      <w:pPr>
        <w:shd w:val="clear" w:color="auto" w:fill="FFFFFF"/>
        <w:rPr>
          <w:color w:val="0563C1"/>
        </w:rPr>
      </w:pPr>
      <w:r>
        <w:rPr>
          <w:color w:val="0563C1"/>
        </w:rPr>
        <w:t xml:space="preserve"> </w:t>
      </w:r>
    </w:p>
    <w:p w14:paraId="1E4A0D1F" w14:textId="77777777" w:rsidR="006D405C" w:rsidRDefault="00ED5EBC">
      <w:pPr>
        <w:pBdr>
          <w:left w:val="none" w:sz="0" w:space="28" w:color="auto"/>
        </w:pBdr>
        <w:shd w:val="clear" w:color="auto" w:fill="FFFFFF"/>
      </w:pPr>
      <w:r>
        <w:t xml:space="preserve">Goodwin, M. (4 de febrero de 2014). </w:t>
      </w:r>
      <w:r>
        <w:rPr>
          <w:i/>
        </w:rPr>
        <w:t xml:space="preserve">City trees for beauty, health and Economic value - Dr Kathleen Wolf </w:t>
      </w:r>
      <w:r>
        <w:t xml:space="preserve"> </w:t>
      </w:r>
    </w:p>
    <w:p w14:paraId="19E62EF6" w14:textId="77777777" w:rsidR="006D405C" w:rsidRDefault="00ED5EBC">
      <w:pPr>
        <w:pBdr>
          <w:left w:val="none" w:sz="0" w:space="28" w:color="auto"/>
        </w:pBdr>
        <w:shd w:val="clear" w:color="auto" w:fill="FFFFFF"/>
      </w:pPr>
      <w:r>
        <w:rPr>
          <w:i/>
        </w:rPr>
        <w:t>The Institute of Chartered Foresters</w:t>
      </w:r>
      <w:r>
        <w:t xml:space="preserve">. The Institute of Chartered  </w:t>
      </w:r>
    </w:p>
    <w:p w14:paraId="2EA45EE5" w14:textId="6930CC62" w:rsidR="006D405C" w:rsidRPr="00B23CC1" w:rsidRDefault="00ED5EBC">
      <w:pPr>
        <w:pBdr>
          <w:left w:val="none" w:sz="0" w:space="28" w:color="auto"/>
        </w:pBdr>
        <w:shd w:val="clear" w:color="auto" w:fill="FFFFFF"/>
        <w:rPr>
          <w:color w:val="0563C1"/>
        </w:rPr>
      </w:pPr>
      <w:r>
        <w:t>Foresters.</w:t>
      </w:r>
      <w:r>
        <w:rPr>
          <w:rStyle w:val="tw4winExternal"/>
        </w:rPr>
        <w:t xml:space="preserve"> </w:t>
      </w: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https://www.charteredforesters.org/economic-value-trees-</w:t>
      </w:r>
      <w:r>
        <w:rPr>
          <w:rStyle w:val="tw4winExternal"/>
        </w:rPr>
        <w:t xml:space="preserve"> </w:t>
      </w:r>
    </w:p>
    <w:p w14:paraId="72D954A0" w14:textId="77777777" w:rsidR="006D405C" w:rsidRPr="00B23CC1" w:rsidRDefault="00ED5EBC">
      <w:pPr>
        <w:shd w:val="clear" w:color="auto" w:fill="FFFFFF"/>
        <w:rPr>
          <w:color w:val="0563C1"/>
        </w:rPr>
      </w:pPr>
      <w:r>
        <w:rPr>
          <w:color w:val="0563C1"/>
        </w:rPr>
        <w:t xml:space="preserve"> </w:t>
      </w:r>
    </w:p>
    <w:p w14:paraId="23A6DA3C" w14:textId="61BBD408" w:rsidR="006D405C" w:rsidRPr="001B3325" w:rsidRDefault="00ED5EBC">
      <w:pPr>
        <w:shd w:val="clear" w:color="auto" w:fill="FFFFFF"/>
        <w:rPr>
          <w:rStyle w:val="tw4winExternal"/>
        </w:rPr>
      </w:pPr>
      <w:r>
        <w:t xml:space="preserve">Nowak, D. J.; Crane, D. E. y Stevens, J. C. (2006). Air pollution removal by urban trees and shrubs in the United States. </w:t>
      </w:r>
      <w:r>
        <w:rPr>
          <w:i/>
        </w:rPr>
        <w:t>Urban Forestry &amp; Urban Greening (Internet)</w:t>
      </w:r>
      <w:r>
        <w:t xml:space="preserve">, </w:t>
      </w:r>
      <w:r>
        <w:rPr>
          <w:i/>
        </w:rPr>
        <w:t>4</w:t>
      </w:r>
      <w:r>
        <w:t>(3–4), 115–123.</w:t>
      </w:r>
      <w:hyperlink r:id="rId20">
        <w:r>
          <w:rPr>
            <w:rStyle w:val="tw4winExternal"/>
          </w:rP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https://doi.org/10.1016/j.ufug.2006.01.007</w:t>
      </w:r>
      <w:r>
        <w:rPr>
          <w:rStyle w:val="tw4winExternal"/>
        </w:rPr>
        <w:t xml:space="preserve"> </w:t>
      </w:r>
    </w:p>
    <w:p w14:paraId="530EE3B9" w14:textId="77777777" w:rsidR="006D405C" w:rsidRDefault="00ED5EBC">
      <w:pPr>
        <w:shd w:val="clear" w:color="auto" w:fill="FFFFFF"/>
      </w:pPr>
      <w:r>
        <w:t xml:space="preserve"> </w:t>
      </w:r>
    </w:p>
    <w:p w14:paraId="7D430552" w14:textId="77777777" w:rsidR="006D405C" w:rsidRDefault="00ED5EBC">
      <w:pPr>
        <w:pBdr>
          <w:left w:val="none" w:sz="0" w:space="28" w:color="auto"/>
        </w:pBdr>
        <w:shd w:val="clear" w:color="auto" w:fill="FFFFFF"/>
      </w:pPr>
      <w:r>
        <w:t xml:space="preserve">Nowak, D. J.; Stein, S.; Randler, P. B.; Greenfield, E. J.; Comas, S. J.; Carr, M. A. y Alig, R. J. (2010). </w:t>
      </w:r>
    </w:p>
    <w:p w14:paraId="0F30282F" w14:textId="33492D6D" w:rsidR="006D405C" w:rsidRPr="00FE3C3E" w:rsidRDefault="00ED5EBC" w:rsidP="00FE3C3E">
      <w:pPr>
        <w:shd w:val="clear" w:color="auto" w:fill="FFFFFF"/>
        <w:rPr>
          <w:rFonts w:ascii="Calibri" w:eastAsia="Calibri" w:hAnsi="Calibri" w:cs="Calibri"/>
          <w:color w:val="0563C1"/>
          <w:kern w:val="0"/>
          <w:u w:val="single"/>
          <w14:ligatures w14:val="none"/>
        </w:rPr>
      </w:pPr>
      <w:r>
        <w:rPr>
          <w:i/>
        </w:rPr>
        <w:t>Sustaining America's urban trees and forests: a Forests on the Edge report</w:t>
      </w:r>
      <w:r>
        <w:t>.</w:t>
      </w:r>
      <w:hyperlink r:id="rId21">
        <w:r w:rsidRPr="00FE3C3E">
          <w:rPr>
            <w:rFonts w:ascii="Calibri" w:eastAsia="Calibri" w:hAnsi="Calibri" w:cs="Calibri"/>
            <w:color w:val="0563C1"/>
            <w:kern w:val="0"/>
            <w:u w:val="single"/>
            <w14:ligatures w14:val="none"/>
          </w:rP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 xml:space="preserve">https://doi.org/10.2737/nrs </w:t>
      </w:r>
    </w:p>
    <w:p w14:paraId="45823D42" w14:textId="77777777" w:rsidR="006D405C" w:rsidRPr="00FE3C3E" w:rsidRDefault="00ED5EBC" w:rsidP="00FE3C3E">
      <w:pPr>
        <w:shd w:val="clear" w:color="auto" w:fill="FFFFFF"/>
        <w:rPr>
          <w:rFonts w:ascii="Calibri" w:eastAsia="Calibri" w:hAnsi="Calibri" w:cs="Calibri"/>
          <w:color w:val="0563C1"/>
          <w:kern w:val="0"/>
          <w:u w:val="single"/>
          <w14:ligatures w14:val="none"/>
        </w:rPr>
      </w:pP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 xml:space="preserve">gtr-62 </w:t>
      </w:r>
    </w:p>
    <w:p w14:paraId="3074F0EF" w14:textId="77777777" w:rsidR="006D405C" w:rsidRDefault="00ED5EBC">
      <w:pPr>
        <w:shd w:val="clear" w:color="auto" w:fill="FFFFFF"/>
      </w:pPr>
      <w:r>
        <w:t xml:space="preserve"> </w:t>
      </w:r>
    </w:p>
    <w:p w14:paraId="114BC024" w14:textId="77777777" w:rsidR="006D405C" w:rsidRPr="00FE3C3E" w:rsidRDefault="00ED5EBC">
      <w:pPr>
        <w:shd w:val="clear" w:color="auto" w:fill="FFFFFF"/>
        <w:rPr>
          <w:rFonts w:ascii="Calibri" w:eastAsia="Calibri" w:hAnsi="Calibri" w:cs="Calibri"/>
          <w:color w:val="0563C1"/>
          <w:kern w:val="0"/>
          <w:u w:val="single"/>
          <w14:ligatures w14:val="none"/>
        </w:rPr>
      </w:pPr>
      <w:r>
        <w:t xml:space="preserve">The Greening of Detroit (9 de noviembre de 2022). </w:t>
      </w:r>
      <w:r>
        <w:rPr>
          <w:i/>
        </w:rPr>
        <w:t>Green Your Life</w:t>
      </w:r>
      <w:r>
        <w:t>.</w:t>
      </w:r>
      <w:r>
        <w:rPr>
          <w:rStyle w:val="tw4winExternal"/>
        </w:rPr>
        <w:t xml:space="preserve"> </w:t>
      </w: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www.greeningofdetroit.com</w:t>
      </w:r>
      <w:r>
        <w:rPr>
          <w:rStyle w:val="tw4winExternal"/>
        </w:rPr>
        <w:t xml:space="preserve"> </w:t>
      </w:r>
    </w:p>
    <w:p w14:paraId="2216EB37" w14:textId="77777777" w:rsidR="006D405C" w:rsidRPr="00FE3C3E" w:rsidRDefault="00ED5EBC">
      <w:pPr>
        <w:shd w:val="clear" w:color="auto" w:fill="FFFFFF"/>
        <w:rPr>
          <w:rFonts w:ascii="Calibri" w:eastAsia="Calibri" w:hAnsi="Calibri" w:cs="Calibri"/>
          <w:color w:val="0563C1"/>
          <w:kern w:val="0"/>
          <w:u w:val="single"/>
          <w14:ligatures w14:val="none"/>
        </w:rPr>
      </w:pP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 xml:space="preserve"> </w:t>
      </w:r>
    </w:p>
    <w:p w14:paraId="644A510E" w14:textId="77777777" w:rsidR="006D405C" w:rsidRPr="00B23CC1" w:rsidRDefault="00ED5EBC">
      <w:pPr>
        <w:shd w:val="clear" w:color="auto" w:fill="FFFFFF"/>
        <w:rPr>
          <w:color w:val="0563C1"/>
        </w:rPr>
      </w:pPr>
      <w:r>
        <w:t xml:space="preserve">The Morton Arboretum (sin fecha). </w:t>
      </w:r>
      <w:r>
        <w:rPr>
          <w:i/>
        </w:rPr>
        <w:t>Plant and Protect/Benefit of Trees</w:t>
      </w:r>
      <w:r>
        <w:t>.</w:t>
      </w:r>
      <w:r>
        <w:rPr>
          <w:rStyle w:val="tw4winExternal"/>
        </w:rPr>
        <w:t xml:space="preserve"> </w:t>
      </w:r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www.mortonarb.org</w:t>
      </w:r>
      <w:r>
        <w:rPr>
          <w:rStyle w:val="tw4winExternal"/>
        </w:rPr>
        <w:t xml:space="preserve"> </w:t>
      </w:r>
    </w:p>
    <w:p w14:paraId="12146925" w14:textId="77777777" w:rsidR="006D405C" w:rsidRDefault="00ED5EBC">
      <w:pPr>
        <w:shd w:val="clear" w:color="auto" w:fill="FFFFFF"/>
      </w:pPr>
      <w:r>
        <w:t xml:space="preserve"> </w:t>
      </w:r>
    </w:p>
    <w:p w14:paraId="341268DD" w14:textId="5CD7463D" w:rsidR="006D405C" w:rsidRPr="00FB76F2" w:rsidRDefault="00ED5EBC">
      <w:pPr>
        <w:shd w:val="clear" w:color="auto" w:fill="FFFFFF"/>
        <w:rPr>
          <w:rStyle w:val="tw4winExternal"/>
        </w:rPr>
      </w:pPr>
      <w:r>
        <w:rPr>
          <w:i/>
        </w:rPr>
        <w:t>The Social benefits of trees: How trees provide value for our economy, health, and environment</w:t>
      </w:r>
      <w:r>
        <w:t>. (sin fecha).</w:t>
      </w:r>
      <w:hyperlink r:id="rId22">
        <w:r>
          <w:rPr>
            <w:rStyle w:val="tw4winExternal"/>
          </w:rP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https://www.carma.earth/blog-posts/social-benefits-of-trees</w:t>
      </w:r>
      <w:r>
        <w:rPr>
          <w:rStyle w:val="tw4winExternal"/>
        </w:rPr>
        <w:t xml:space="preserve"> </w:t>
      </w:r>
    </w:p>
    <w:p w14:paraId="414DB782" w14:textId="77777777" w:rsidR="006D405C" w:rsidRPr="00B23CC1" w:rsidRDefault="00ED5EBC">
      <w:pPr>
        <w:shd w:val="clear" w:color="auto" w:fill="FFFFFF"/>
        <w:rPr>
          <w:color w:val="0563C1"/>
        </w:rPr>
      </w:pPr>
      <w:r>
        <w:rPr>
          <w:color w:val="0563C1"/>
        </w:rPr>
        <w:t xml:space="preserve"> </w:t>
      </w:r>
    </w:p>
    <w:p w14:paraId="5D85CC2B" w14:textId="77777777" w:rsidR="006D405C" w:rsidRDefault="00ED5EBC">
      <w:pPr>
        <w:shd w:val="clear" w:color="auto" w:fill="FFFFFF"/>
      </w:pPr>
      <w:r>
        <w:t>Trees are Good for Business. Publicación Técnica del Capítulo Noroeste del Pacífico de International Society of Arboriculture, Portland OR. Junio de 2005 </w:t>
      </w:r>
      <w:hyperlink r:id="rId23">
        <w:r>
          <w:rPr>
            <w:u w:val="single"/>
          </w:rPr>
          <w:t>(pdf 14,7 MB)</w:t>
        </w:r>
      </w:hyperlink>
      <w:r>
        <w:t xml:space="preserve"> </w:t>
      </w:r>
    </w:p>
    <w:p w14:paraId="70F67492" w14:textId="77777777" w:rsidR="006D405C" w:rsidRDefault="00ED5EBC">
      <w:pPr>
        <w:shd w:val="clear" w:color="auto" w:fill="FFFFFF"/>
      </w:pPr>
      <w:r>
        <w:t xml:space="preserve"> </w:t>
      </w:r>
    </w:p>
    <w:p w14:paraId="39E2F4E8" w14:textId="48689482" w:rsidR="006D405C" w:rsidRPr="00FB76F2" w:rsidRDefault="00ED5EBC">
      <w:pPr>
        <w:shd w:val="clear" w:color="auto" w:fill="FFFFFF"/>
        <w:rPr>
          <w:rStyle w:val="tw4winExternal"/>
        </w:rPr>
      </w:pPr>
      <w:r>
        <w:t xml:space="preserve">Trust for Public Land. (26 de octubre de 2022). </w:t>
      </w:r>
      <w:r>
        <w:rPr>
          <w:i/>
        </w:rPr>
        <w:t>Measuring the economic value of a city park system</w:t>
      </w:r>
      <w:r>
        <w:t>.</w:t>
      </w:r>
      <w:hyperlink r:id="rId24">
        <w:r>
          <w:rPr>
            <w:rStyle w:val="tw4winExternal"/>
          </w:rP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https://www.tpl.org/resource/measuring-economic-value-city-park-system</w:t>
      </w:r>
      <w:r>
        <w:rPr>
          <w:rStyle w:val="tw4winExternal"/>
        </w:rPr>
        <w:t xml:space="preserve"> </w:t>
      </w:r>
    </w:p>
    <w:p w14:paraId="52DA4976" w14:textId="77777777" w:rsidR="006D405C" w:rsidRDefault="006D405C">
      <w:pPr>
        <w:shd w:val="clear" w:color="auto" w:fill="FFFFFF"/>
      </w:pPr>
    </w:p>
    <w:p w14:paraId="1B412443" w14:textId="77777777" w:rsidR="006D405C" w:rsidRDefault="00ED5EBC">
      <w:pPr>
        <w:shd w:val="clear" w:color="auto" w:fill="FFFFFF"/>
      </w:pPr>
      <w:r>
        <w:t xml:space="preserve"> </w:t>
      </w:r>
    </w:p>
    <w:p w14:paraId="2D18E380" w14:textId="40B7D139" w:rsidR="006D405C" w:rsidRPr="00FB76F2" w:rsidRDefault="00ED5EBC">
      <w:pPr>
        <w:shd w:val="clear" w:color="auto" w:fill="FFFFFF"/>
        <w:rPr>
          <w:rStyle w:val="tw4winExternal"/>
        </w:rPr>
      </w:pPr>
      <w:r>
        <w:t xml:space="preserve">Wolf, K. L. y Robbins, A. (2015). Metro Nature, environmental health, and economic value </w:t>
      </w:r>
      <w:r>
        <w:rPr>
          <w:i/>
        </w:rPr>
        <w:t>Environmental Health Perspectives</w:t>
      </w:r>
      <w:r>
        <w:t xml:space="preserve">, </w:t>
      </w:r>
      <w:r>
        <w:rPr>
          <w:i/>
        </w:rPr>
        <w:t>123</w:t>
      </w:r>
      <w:r>
        <w:t>(5), 390–398.</w:t>
      </w:r>
      <w:hyperlink r:id="rId25">
        <w:r>
          <w:rPr>
            <w:rStyle w:val="tw4winExternal"/>
          </w:rPr>
          <w:t xml:space="preserve"> </w:t>
        </w:r>
      </w:hyperlink>
      <w:r w:rsidRPr="00FE3C3E">
        <w:rPr>
          <w:rFonts w:ascii="Calibri" w:eastAsia="Calibri" w:hAnsi="Calibri" w:cs="Calibri"/>
          <w:color w:val="0563C1"/>
          <w:kern w:val="0"/>
          <w:u w:val="single"/>
          <w14:ligatures w14:val="none"/>
        </w:rPr>
        <w:t>https://doi.org/10.1289/ehp.1408216</w:t>
      </w:r>
      <w:r>
        <w:rPr>
          <w:rStyle w:val="tw4winExternal"/>
        </w:rPr>
        <w:t xml:space="preserve"> </w:t>
      </w:r>
    </w:p>
    <w:p w14:paraId="2EDC7214" w14:textId="77777777" w:rsidR="006D405C" w:rsidRDefault="00ED5EBC">
      <w:pPr>
        <w:shd w:val="clear" w:color="auto" w:fill="FFFFFF"/>
      </w:pPr>
      <w:r>
        <w:t xml:space="preserve"> </w:t>
      </w:r>
    </w:p>
    <w:p w14:paraId="5A11352B" w14:textId="77777777" w:rsidR="006D405C" w:rsidRDefault="00ED5EBC">
      <w:pPr>
        <w:shd w:val="clear" w:color="auto" w:fill="FFFFFF"/>
      </w:pPr>
      <w:r>
        <w:lastRenderedPageBreak/>
        <w:t xml:space="preserve"> </w:t>
      </w:r>
    </w:p>
    <w:p w14:paraId="61318C89" w14:textId="77777777" w:rsidR="006D405C" w:rsidRDefault="00ED5EBC">
      <w:pPr>
        <w:shd w:val="clear" w:color="auto" w:fill="FFFFFF"/>
      </w:pPr>
      <w:r>
        <w:t xml:space="preserve"> </w:t>
      </w:r>
    </w:p>
    <w:p w14:paraId="44E93C69" w14:textId="77777777" w:rsidR="006D405C" w:rsidRDefault="00ED5EBC">
      <w:pPr>
        <w:shd w:val="clear" w:color="auto" w:fill="FFFFFF"/>
      </w:pPr>
      <w:r>
        <w:t xml:space="preserve"> </w:t>
      </w:r>
    </w:p>
    <w:p w14:paraId="42BF5D6A" w14:textId="77777777" w:rsidR="006D405C" w:rsidRDefault="00ED5EBC">
      <w:pPr>
        <w:shd w:val="clear" w:color="auto" w:fill="FFFFFF"/>
      </w:pPr>
      <w:r>
        <w:t xml:space="preserve"> </w:t>
      </w:r>
    </w:p>
    <w:p w14:paraId="426F7A1C" w14:textId="77777777" w:rsidR="006D405C" w:rsidRDefault="006D405C">
      <w:pPr>
        <w:rPr>
          <w:rFonts w:ascii="Arial" w:eastAsia="Arial" w:hAnsi="Arial" w:cs="Arial"/>
        </w:rPr>
      </w:pPr>
    </w:p>
    <w:p w14:paraId="49AC4C67" w14:textId="77777777" w:rsidR="006D405C" w:rsidRDefault="006D405C">
      <w:pPr>
        <w:rPr>
          <w:rFonts w:ascii="Arial" w:eastAsia="Arial" w:hAnsi="Arial" w:cs="Arial"/>
        </w:rPr>
      </w:pPr>
    </w:p>
    <w:p w14:paraId="71FBE927" w14:textId="77777777" w:rsidR="006D405C" w:rsidRDefault="006D405C">
      <w:pPr>
        <w:rPr>
          <w:rFonts w:ascii="Arial" w:eastAsia="Arial" w:hAnsi="Arial" w:cs="Arial"/>
        </w:rPr>
      </w:pPr>
    </w:p>
    <w:p w14:paraId="682C5FEC" w14:textId="77777777" w:rsidR="006D405C" w:rsidRDefault="006D405C">
      <w:pPr>
        <w:rPr>
          <w:rFonts w:ascii="Arial" w:eastAsia="Arial" w:hAnsi="Arial" w:cs="Arial"/>
        </w:rPr>
      </w:pPr>
    </w:p>
    <w:p w14:paraId="0968CA2A" w14:textId="77777777" w:rsidR="006D405C" w:rsidRDefault="006D405C">
      <w:pPr>
        <w:rPr>
          <w:rFonts w:ascii="Arial" w:eastAsia="Arial" w:hAnsi="Arial" w:cs="Arial"/>
        </w:rPr>
      </w:pPr>
    </w:p>
    <w:p w14:paraId="1420502D" w14:textId="77777777" w:rsidR="006D405C" w:rsidRDefault="006D405C">
      <w:pPr>
        <w:rPr>
          <w:rFonts w:ascii="Arial" w:eastAsia="Arial" w:hAnsi="Arial" w:cs="Arial"/>
        </w:rPr>
      </w:pPr>
    </w:p>
    <w:p w14:paraId="36B09A8D" w14:textId="77777777" w:rsidR="006D405C" w:rsidRDefault="006D405C">
      <w:pPr>
        <w:rPr>
          <w:rFonts w:ascii="Arial" w:eastAsia="Arial" w:hAnsi="Arial" w:cs="Arial"/>
        </w:rPr>
      </w:pPr>
    </w:p>
    <w:p w14:paraId="3025E2A6" w14:textId="77777777" w:rsidR="006D405C" w:rsidRDefault="006D405C">
      <w:pPr>
        <w:rPr>
          <w:rFonts w:ascii="Arial" w:eastAsia="Arial" w:hAnsi="Arial" w:cs="Arial"/>
        </w:rPr>
      </w:pPr>
    </w:p>
    <w:p w14:paraId="3874C276" w14:textId="77777777" w:rsidR="006D405C" w:rsidRDefault="006D405C">
      <w:pPr>
        <w:rPr>
          <w:rFonts w:ascii="Arial" w:eastAsia="Arial" w:hAnsi="Arial" w:cs="Arial"/>
        </w:rPr>
      </w:pPr>
    </w:p>
    <w:p w14:paraId="7254FFA2" w14:textId="77777777" w:rsidR="006D405C" w:rsidRDefault="006D405C">
      <w:pPr>
        <w:rPr>
          <w:rFonts w:ascii="Arial" w:eastAsia="Arial" w:hAnsi="Arial" w:cs="Arial"/>
        </w:rPr>
      </w:pPr>
    </w:p>
    <w:p w14:paraId="41DFD0BA" w14:textId="77777777" w:rsidR="006D405C" w:rsidRDefault="006D405C">
      <w:pPr>
        <w:rPr>
          <w:rFonts w:ascii="Arial" w:eastAsia="Arial" w:hAnsi="Arial" w:cs="Arial"/>
        </w:rPr>
      </w:pPr>
    </w:p>
    <w:p w14:paraId="4257588C" w14:textId="77777777" w:rsidR="006D405C" w:rsidRDefault="006D405C">
      <w:pPr>
        <w:rPr>
          <w:rFonts w:ascii="Arial" w:eastAsia="Arial" w:hAnsi="Arial" w:cs="Arial"/>
        </w:rPr>
      </w:pPr>
    </w:p>
    <w:p w14:paraId="2BECB8B2" w14:textId="77777777" w:rsidR="006D405C" w:rsidRDefault="006D405C">
      <w:pPr>
        <w:rPr>
          <w:rFonts w:ascii="Arial" w:eastAsia="Arial" w:hAnsi="Arial" w:cs="Arial"/>
        </w:rPr>
      </w:pPr>
    </w:p>
    <w:sectPr w:rsidR="006D405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40" w:right="1440" w:bottom="1440" w:left="1440" w:header="1440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DBE4D" w14:textId="77777777" w:rsidR="008B5EF9" w:rsidRDefault="008B5EF9">
      <w:r>
        <w:separator/>
      </w:r>
    </w:p>
  </w:endnote>
  <w:endnote w:type="continuationSeparator" w:id="0">
    <w:p w14:paraId="12A63F35" w14:textId="77777777" w:rsidR="008B5EF9" w:rsidRDefault="008B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5B2D3" w14:textId="77777777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5A2903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0A44C" w14:textId="5286BD7B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Arial" w:eastAsia="Arial" w:hAnsi="Arial" w:cs="Arial"/>
        <w:color w:val="237D12"/>
      </w:rPr>
    </w:pPr>
    <w:r>
      <w:rPr>
        <w:rFonts w:ascii="Arial" w:eastAsia="Arial" w:hAnsi="Arial" w:cs="Arial"/>
        <w:color w:val="237D12"/>
      </w:rPr>
      <w:fldChar w:fldCharType="begin"/>
    </w:r>
    <w:r>
      <w:rPr>
        <w:rFonts w:ascii="Arial" w:eastAsia="Arial" w:hAnsi="Arial" w:cs="Arial"/>
        <w:color w:val="237D12"/>
      </w:rPr>
      <w:instrText>PAGE</w:instrText>
    </w:r>
    <w:r>
      <w:rPr>
        <w:rFonts w:ascii="Arial" w:eastAsia="Arial" w:hAnsi="Arial" w:cs="Arial"/>
        <w:color w:val="237D12"/>
      </w:rPr>
      <w:fldChar w:fldCharType="separate"/>
    </w:r>
    <w:r>
      <w:rPr>
        <w:rFonts w:ascii="Arial" w:eastAsia="Arial" w:hAnsi="Arial" w:cs="Arial"/>
        <w:color w:val="237D12"/>
      </w:rPr>
      <w:t>2</w:t>
    </w:r>
    <w:r>
      <w:rPr>
        <w:rFonts w:ascii="Arial" w:eastAsia="Arial" w:hAnsi="Arial" w:cs="Arial"/>
        <w:color w:val="237D12"/>
      </w:rPr>
      <w:fldChar w:fldCharType="end"/>
    </w:r>
  </w:p>
  <w:p w14:paraId="10AB99B4" w14:textId="77777777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4474016" wp14:editId="1C727831">
          <wp:simplePos x="0" y="0"/>
          <wp:positionH relativeFrom="column">
            <wp:posOffset>-913763</wp:posOffset>
          </wp:positionH>
          <wp:positionV relativeFrom="paragraph">
            <wp:posOffset>-3888857</wp:posOffset>
          </wp:positionV>
          <wp:extent cx="7824979" cy="4347210"/>
          <wp:effectExtent l="0" t="0" r="0" b="0"/>
          <wp:wrapNone/>
          <wp:docPr id="1780902433" name="image3.png" descr="A white background with a white wav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A white background with a white wave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4979" cy="434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6E79AE5D" wp14:editId="4D231953">
          <wp:simplePos x="0" y="0"/>
          <wp:positionH relativeFrom="column">
            <wp:posOffset>3998071</wp:posOffset>
          </wp:positionH>
          <wp:positionV relativeFrom="paragraph">
            <wp:posOffset>-236219</wp:posOffset>
          </wp:positionV>
          <wp:extent cx="1433195" cy="382270"/>
          <wp:effectExtent l="0" t="0" r="0" b="0"/>
          <wp:wrapNone/>
          <wp:docPr id="1780902432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6263B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7D422" w14:textId="77777777" w:rsidR="008B5EF9" w:rsidRDefault="008B5EF9">
      <w:r>
        <w:separator/>
      </w:r>
    </w:p>
  </w:footnote>
  <w:footnote w:type="continuationSeparator" w:id="0">
    <w:p w14:paraId="76D22A2F" w14:textId="77777777" w:rsidR="008B5EF9" w:rsidRDefault="008B5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A5EE9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BCB0" w14:textId="77777777" w:rsidR="006D405C" w:rsidRDefault="006D405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3404" w14:textId="77777777" w:rsidR="006D405C" w:rsidRDefault="00ED5EB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68F6296" wp14:editId="55C601BD">
          <wp:simplePos x="0" y="0"/>
          <wp:positionH relativeFrom="column">
            <wp:posOffset>-914015</wp:posOffset>
          </wp:positionH>
          <wp:positionV relativeFrom="paragraph">
            <wp:posOffset>-913694</wp:posOffset>
          </wp:positionV>
          <wp:extent cx="8983227" cy="4990682"/>
          <wp:effectExtent l="0" t="0" r="0" b="0"/>
          <wp:wrapNone/>
          <wp:docPr id="1780902434" name="image2.png" descr="A white and grey background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white and grey background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3227" cy="49906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 wp14:anchorId="283D830F" wp14:editId="5AD9904B">
          <wp:simplePos x="0" y="0"/>
          <wp:positionH relativeFrom="column">
            <wp:posOffset>30146</wp:posOffset>
          </wp:positionH>
          <wp:positionV relativeFrom="paragraph">
            <wp:posOffset>-622996</wp:posOffset>
          </wp:positionV>
          <wp:extent cx="1568192" cy="418184"/>
          <wp:effectExtent l="0" t="0" r="0" b="0"/>
          <wp:wrapNone/>
          <wp:docPr id="1780902435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C4C36"/>
    <w:multiLevelType w:val="multilevel"/>
    <w:tmpl w:val="465A4822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A40C9E"/>
    <w:multiLevelType w:val="multilevel"/>
    <w:tmpl w:val="DA0814AC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37275"/>
    <w:multiLevelType w:val="multilevel"/>
    <w:tmpl w:val="D33E97D4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1A0628"/>
    <w:multiLevelType w:val="multilevel"/>
    <w:tmpl w:val="2868A822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232056C"/>
    <w:multiLevelType w:val="multilevel"/>
    <w:tmpl w:val="0AF6E8FC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4033843"/>
    <w:multiLevelType w:val="multilevel"/>
    <w:tmpl w:val="D11EFDAE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9F1178"/>
    <w:multiLevelType w:val="multilevel"/>
    <w:tmpl w:val="BCF22C6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86422D"/>
    <w:multiLevelType w:val="multilevel"/>
    <w:tmpl w:val="FC14336E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77755D3"/>
    <w:multiLevelType w:val="multilevel"/>
    <w:tmpl w:val="064C0B88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93D653D"/>
    <w:multiLevelType w:val="multilevel"/>
    <w:tmpl w:val="911A0220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6265387">
    <w:abstractNumId w:val="5"/>
  </w:num>
  <w:num w:numId="2" w16cid:durableId="209272981">
    <w:abstractNumId w:val="6"/>
  </w:num>
  <w:num w:numId="3" w16cid:durableId="145781476">
    <w:abstractNumId w:val="9"/>
  </w:num>
  <w:num w:numId="4" w16cid:durableId="1780828652">
    <w:abstractNumId w:val="2"/>
  </w:num>
  <w:num w:numId="5" w16cid:durableId="801118926">
    <w:abstractNumId w:val="7"/>
  </w:num>
  <w:num w:numId="6" w16cid:durableId="2037541345">
    <w:abstractNumId w:val="0"/>
  </w:num>
  <w:num w:numId="7" w16cid:durableId="845435396">
    <w:abstractNumId w:val="4"/>
  </w:num>
  <w:num w:numId="8" w16cid:durableId="1662274376">
    <w:abstractNumId w:val="8"/>
  </w:num>
  <w:num w:numId="9" w16cid:durableId="1327052540">
    <w:abstractNumId w:val="3"/>
  </w:num>
  <w:num w:numId="10" w16cid:durableId="89582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05C"/>
    <w:rsid w:val="000C0A7E"/>
    <w:rsid w:val="001534DC"/>
    <w:rsid w:val="001B3325"/>
    <w:rsid w:val="00230D90"/>
    <w:rsid w:val="002F7761"/>
    <w:rsid w:val="00363D42"/>
    <w:rsid w:val="00610260"/>
    <w:rsid w:val="00614611"/>
    <w:rsid w:val="006D405C"/>
    <w:rsid w:val="00803E02"/>
    <w:rsid w:val="008B5EF9"/>
    <w:rsid w:val="00A818C9"/>
    <w:rsid w:val="00B23CC1"/>
    <w:rsid w:val="00C5012A"/>
    <w:rsid w:val="00C51751"/>
    <w:rsid w:val="00ED5EBC"/>
    <w:rsid w:val="00F656A0"/>
    <w:rsid w:val="00F93300"/>
    <w:rsid w:val="00FB76F2"/>
    <w:rsid w:val="00FE3C3E"/>
    <w:rsid w:val="0214E77E"/>
    <w:rsid w:val="06316E3D"/>
    <w:rsid w:val="0CF2215B"/>
    <w:rsid w:val="1C8D8AFE"/>
    <w:rsid w:val="1DFC5D83"/>
    <w:rsid w:val="1F78FA6F"/>
    <w:rsid w:val="22C223FE"/>
    <w:rsid w:val="2E64DB13"/>
    <w:rsid w:val="30D61333"/>
    <w:rsid w:val="3F370E57"/>
    <w:rsid w:val="443FC185"/>
    <w:rsid w:val="472B6963"/>
    <w:rsid w:val="50919153"/>
    <w:rsid w:val="5452E64D"/>
    <w:rsid w:val="633C5D15"/>
    <w:rsid w:val="67400FDE"/>
    <w:rsid w:val="7822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F9A9"/>
  <w15:docId w15:val="{6E27826F-2BC8-4693-A2A1-478CD076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4DC"/>
    <w:pPr>
      <w:spacing w:after="0" w:line="240" w:lineRule="auto"/>
    </w:pPr>
    <w:rPr>
      <w:rFonts w:ascii="Avenir Light" w:eastAsiaTheme="minorHAnsi" w:hAnsi="Avenir Light" w:cs="AngsanaUPC"/>
      <w:kern w:val="2"/>
      <w:sz w:val="24"/>
      <w:szCs w:val="24"/>
      <w:lang w:val="en-US"/>
      <w14:ligatures w14:val="standardContextu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1534D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34DC"/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w4winExternal">
    <w:name w:val="tw4winExternal"/>
    <w:rsid w:val="00FE3C3E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FE3C3E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hp.niehs.nih.gov/doi/10.1289/ehp.1408216" TargetMode="External"/><Relationship Id="rId18" Type="http://schemas.openxmlformats.org/officeDocument/2006/relationships/hyperlink" Target="https://doi.org/10.1371/journal.pstr.0000010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2737/nr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hp.niehs.nih.gov/doi/10.1289/ehp.1408216" TargetMode="External"/><Relationship Id="rId17" Type="http://schemas.openxmlformats.org/officeDocument/2006/relationships/hyperlink" Target="https://doi.org/10.1016/j.landurbplan.2022.104445%E2%80%AF" TargetMode="External"/><Relationship Id="rId25" Type="http://schemas.openxmlformats.org/officeDocument/2006/relationships/hyperlink" Target="https://doi.org/10.1289/ehp.1408216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hp.niehs.nih.gov/doi/10.1289/ehp.1408216" TargetMode="External"/><Relationship Id="rId20" Type="http://schemas.openxmlformats.org/officeDocument/2006/relationships/hyperlink" Target="https://doi.org/10.1016/j.ufug.2006.01.007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hp.niehs.nih.gov/doi/10.1289/ehp.1408216" TargetMode="External"/><Relationship Id="rId24" Type="http://schemas.openxmlformats.org/officeDocument/2006/relationships/hyperlink" Target="https://www.tpl.org/resource/measuring-economic-value-city-park-system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ehp.niehs.nih.gov/doi/10.1289/ehp.1408216" TargetMode="External"/><Relationship Id="rId23" Type="http://schemas.openxmlformats.org/officeDocument/2006/relationships/hyperlink" Target="https://www.naturewithin.info/CityBiz/BizTech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doi.org/10.1016/j.tfp.2022.100215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reeningofdetroit.com/green-your-life/2022/11/9/rooting-impact-in-detroit" TargetMode="External"/><Relationship Id="rId22" Type="http://schemas.openxmlformats.org/officeDocument/2006/relationships/hyperlink" Target="https://www.carma.earth/blog-posts/social-benefits-of-trees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SHwgdGP4vXqRHros67iHRC/3GA==">CgMxLjA4AHIhMXRSUmV6OGJBMHNpclBCM295MEtJMXZSUGhiSE5SV3R4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FB98B7-95DA-428D-9F9A-5E7BE582E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12BFA-81B3-4EB4-81DF-9FBC2A1AE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FB06C-5049-4167-83C1-E3EECBB0D599}">
  <ds:schemaRefs>
    <ds:schemaRef ds:uri="http://schemas.microsoft.com/office/2006/metadata/properties"/>
    <ds:schemaRef ds:uri="http://schemas.microsoft.com/office/infopath/2007/PartnerControls"/>
    <ds:schemaRef ds:uri="5888fc64-4fc7-4ce5-9021-c38539a81f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Baxter, Ian (ib7jx)</dc:creator>
  <cp:lastModifiedBy>Jennie Mummert</cp:lastModifiedBy>
  <cp:revision>2</cp:revision>
  <dcterms:created xsi:type="dcterms:W3CDTF">2025-03-28T18:38:00Z</dcterms:created>
  <dcterms:modified xsi:type="dcterms:W3CDTF">2025-03-28T18:38:00Z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