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42DF4" w14:textId="32192D4D" w:rsidR="00745CDB" w:rsidRDefault="00723586" w:rsidP="1DCB19A0">
      <w:pPr>
        <w:rPr>
          <w:rFonts w:ascii="Arial" w:eastAsia="Arial" w:hAnsi="Arial" w:cs="Arial"/>
          <w:b/>
          <w:bCs/>
          <w:color w:val="D0CECE" w:themeColor="background2" w:themeShade="E6"/>
          <w:sz w:val="48"/>
          <w:szCs w:val="48"/>
        </w:rPr>
      </w:pPr>
      <w:r>
        <w:rPr>
          <w:rFonts w:ascii="Arial" w:hAnsi="Arial"/>
          <w:b/>
          <w:color w:val="227C12"/>
          <w:sz w:val="48"/>
        </w:rPr>
        <w:t xml:space="preserve">Bienestar de la comunidad </w:t>
      </w:r>
    </w:p>
    <w:p w14:paraId="44BE5BCD" w14:textId="77777777" w:rsidR="00ED372C" w:rsidRPr="002B273C" w:rsidRDefault="00ED372C" w:rsidP="00ED372C">
      <w:pPr>
        <w:rPr>
          <w:rFonts w:ascii="Arial" w:eastAsia="Arial" w:hAnsi="Arial" w:cs="Arial"/>
          <w:b/>
          <w:i/>
          <w:iCs/>
          <w:color w:val="237D12"/>
        </w:rPr>
      </w:pPr>
      <w:r>
        <w:rPr>
          <w:rFonts w:ascii="Arial" w:hAnsi="Arial"/>
          <w:b/>
          <w:i/>
          <w:color w:val="237D12"/>
        </w:rPr>
        <w:t>Una selección de hechos y recursos respaldados por la investigación</w:t>
      </w:r>
    </w:p>
    <w:p w14:paraId="55D4ABBA" w14:textId="77777777" w:rsidR="00ED372C" w:rsidRDefault="00ED372C" w:rsidP="00ED372C">
      <w:pPr>
        <w:rPr>
          <w:rFonts w:ascii="Arial" w:eastAsia="Arial" w:hAnsi="Arial" w:cs="Arial"/>
          <w:color w:val="434343"/>
        </w:rPr>
      </w:pPr>
      <w:r>
        <w:rPr>
          <w:rFonts w:ascii="Arial" w:hAnsi="Arial"/>
          <w:b/>
          <w:color w:val="237D12"/>
        </w:rPr>
        <w:t>2024</w:t>
      </w:r>
    </w:p>
    <w:p w14:paraId="674F9550" w14:textId="77777777" w:rsidR="00ED372C" w:rsidRDefault="00ED372C">
      <w:pPr>
        <w:rPr>
          <w:rFonts w:ascii="Arial" w:eastAsia="Arial" w:hAnsi="Arial" w:cs="Arial"/>
          <w:b/>
          <w:color w:val="237D12"/>
        </w:rPr>
      </w:pPr>
    </w:p>
    <w:p w14:paraId="5E4FE8E6" w14:textId="5E1BB084" w:rsidR="00745CDB" w:rsidRPr="00ED372C" w:rsidRDefault="00ED372C">
      <w:pPr>
        <w:rPr>
          <w:rFonts w:ascii="Arial" w:eastAsia="Arial" w:hAnsi="Arial" w:cs="Arial"/>
          <w:b/>
          <w:u w:val="single"/>
        </w:rPr>
      </w:pPr>
      <w:r>
        <w:rPr>
          <w:rFonts w:ascii="Arial" w:hAnsi="Arial"/>
          <w:b/>
          <w:color w:val="237D12"/>
          <w:u w:val="single"/>
        </w:rPr>
        <w:t xml:space="preserve">Descripción general </w:t>
      </w:r>
    </w:p>
    <w:p w14:paraId="5A4F9068" w14:textId="66ADE5A8" w:rsidR="00745CDB" w:rsidRDefault="00723586" w:rsidP="00E761EB">
      <w:r>
        <w:t>Los espacios verdes urbanos proporcionan lugares vitales que favorecen las reuniones sociales improvisadas y organizadas: espacios para jugar, compartir, encontrarse y establecer contactos con otras personas</w:t>
      </w:r>
      <w:r>
        <w:rPr>
          <w:color w:val="0B0B0B"/>
        </w:rPr>
        <w:t xml:space="preserve">.  Esto a su vez reduce la soledad, mejora la cohesión social y proporciona un mayor sentido de confianza en un vecindario, lugar y pertenencia a la sociedad. </w:t>
      </w:r>
      <w:r>
        <w:t xml:space="preserve">La limpieza de terrenos baldíos, la restauración de parques y la creación de huertas comunitarias suelen ser indicadores de la resiliencia de la comunidad. </w:t>
      </w:r>
    </w:p>
    <w:p w14:paraId="7B5656D5" w14:textId="77777777" w:rsidR="00E761EB" w:rsidRPr="00E761EB" w:rsidRDefault="00E761EB" w:rsidP="00E761EB"/>
    <w:p w14:paraId="7931FEF5" w14:textId="6E9DECF0" w:rsidR="00745CDB" w:rsidRPr="00ED372C" w:rsidRDefault="3AA9AD68" w:rsidP="1855F773">
      <w:pPr>
        <w:shd w:val="clear" w:color="auto" w:fill="FFFFFF" w:themeFill="background1"/>
        <w:rPr>
          <w:b/>
          <w:bCs/>
          <w:color w:val="237D12" w:themeColor="text2"/>
        </w:rPr>
      </w:pPr>
      <w:r>
        <w:rPr>
          <w:b/>
          <w:color w:val="237D12" w:themeColor="text2"/>
        </w:rPr>
        <w:t xml:space="preserve">Familia </w:t>
      </w:r>
    </w:p>
    <w:p w14:paraId="50F5A43A" w14:textId="618FCE3E" w:rsidR="00745CDB" w:rsidRPr="00ED372C" w:rsidRDefault="3AA9AD68" w:rsidP="1855F773">
      <w:pPr>
        <w:numPr>
          <w:ilvl w:val="0"/>
          <w:numId w:val="4"/>
        </w:numPr>
        <w:ind w:left="1080"/>
      </w:pPr>
      <w:r>
        <w:t xml:space="preserve">Los espacios verdes pueden promover la </w:t>
      </w:r>
      <w:r>
        <w:rPr>
          <w:b/>
        </w:rPr>
        <w:t>interacción social multigeneracional</w:t>
      </w:r>
      <w:r>
        <w:t xml:space="preserve">. Proporcionan lugares para que los padres y los niños participen en actividades al aire libre y pasen tiempo juntos (Urban Forestry Toolkit, sin fecha). </w:t>
      </w:r>
    </w:p>
    <w:p w14:paraId="5A7FE93F" w14:textId="09F9AFC1" w:rsidR="00745CDB" w:rsidRPr="00ED372C" w:rsidRDefault="3AA9AD68" w:rsidP="1855F773">
      <w:pPr>
        <w:numPr>
          <w:ilvl w:val="0"/>
          <w:numId w:val="4"/>
        </w:numPr>
        <w:ind w:left="1080"/>
      </w:pPr>
      <w:r>
        <w:t xml:space="preserve">Los espacios verdes proporcionan un lugar para que las personas de edad avanzada realicen actividad física y socialicen con otros, lo que puede ayudar a </w:t>
      </w:r>
      <w:r>
        <w:rPr>
          <w:b/>
        </w:rPr>
        <w:t>combatir los sentimientos de soledad</w:t>
      </w:r>
      <w:r>
        <w:t xml:space="preserve"> y depresión (Urban Forestry Toolkit, sin fecha). </w:t>
      </w:r>
    </w:p>
    <w:p w14:paraId="4CD1EF9E" w14:textId="77777777" w:rsidR="00745CDB" w:rsidRPr="00ED372C" w:rsidRDefault="00745CDB" w:rsidP="1855F773">
      <w:pPr>
        <w:shd w:val="clear" w:color="auto" w:fill="FFFFFF" w:themeFill="background1"/>
        <w:rPr>
          <w:b/>
          <w:bCs/>
        </w:rPr>
      </w:pPr>
    </w:p>
    <w:p w14:paraId="3963D008" w14:textId="3619912E" w:rsidR="00745CDB" w:rsidRPr="00ED372C" w:rsidRDefault="00723586" w:rsidP="1855F773">
      <w:pPr>
        <w:shd w:val="clear" w:color="auto" w:fill="FFFFFF" w:themeFill="background1"/>
        <w:rPr>
          <w:b/>
          <w:bCs/>
          <w:color w:val="237D12"/>
        </w:rPr>
      </w:pPr>
      <w:r>
        <w:rPr>
          <w:b/>
          <w:color w:val="237D12" w:themeColor="text2"/>
        </w:rPr>
        <w:t xml:space="preserve">Conexión y participación ciudadana </w:t>
      </w:r>
    </w:p>
    <w:p w14:paraId="45308C1C" w14:textId="3DF60538" w:rsidR="00745CDB" w:rsidRDefault="00723586" w:rsidP="00ED372C">
      <w:pPr>
        <w:pStyle w:val="ListParagraph"/>
        <w:numPr>
          <w:ilvl w:val="0"/>
          <w:numId w:val="7"/>
        </w:numPr>
      </w:pPr>
      <w:r>
        <w:t xml:space="preserve">Las comunidades donde los residentes están rodeados de árboles y naturaleza pueden </w:t>
      </w:r>
      <w:r>
        <w:rPr>
          <w:b/>
          <w:bCs/>
        </w:rPr>
        <w:t>ser más amables y compasivas</w:t>
      </w:r>
      <w:r>
        <w:t xml:space="preserve"> (Piff et al., 2015). </w:t>
      </w:r>
    </w:p>
    <w:p w14:paraId="727BF9C4" w14:textId="77777777" w:rsidR="00745CDB" w:rsidRDefault="00723586">
      <w:pPr>
        <w:numPr>
          <w:ilvl w:val="0"/>
          <w:numId w:val="6"/>
        </w:numPr>
        <w:ind w:left="1080"/>
      </w:pPr>
      <w:r>
        <w:t xml:space="preserve">Quienes participan en campañas de plantación de árboles a menudo se involucran en actividades cívicas más amplias, lo cual fortalece los </w:t>
      </w:r>
      <w:r>
        <w:rPr>
          <w:b/>
        </w:rPr>
        <w:t>valores democráticos</w:t>
      </w:r>
      <w:r>
        <w:t xml:space="preserve"> y los lazos comunitarios (Fisher et al., 2015). </w:t>
      </w:r>
    </w:p>
    <w:p w14:paraId="37E6860F" w14:textId="680D9C9E" w:rsidR="1855F773" w:rsidRDefault="1855F773" w:rsidP="1855F773">
      <w:pPr>
        <w:shd w:val="clear" w:color="auto" w:fill="FFFFFF" w:themeFill="background1"/>
        <w:rPr>
          <w:b/>
          <w:bCs/>
          <w:color w:val="237D12" w:themeColor="text2"/>
        </w:rPr>
      </w:pPr>
    </w:p>
    <w:p w14:paraId="43B51CBD" w14:textId="7DFCA692" w:rsidR="00745CDB" w:rsidRDefault="00723586">
      <w:pPr>
        <w:shd w:val="clear" w:color="auto" w:fill="FFFFFF"/>
        <w:rPr>
          <w:b/>
        </w:rPr>
      </w:pPr>
      <w:r>
        <w:rPr>
          <w:b/>
          <w:color w:val="237D12"/>
        </w:rPr>
        <w:t xml:space="preserve">Creación de lugares y tiempo </w:t>
      </w:r>
    </w:p>
    <w:p w14:paraId="161C634B" w14:textId="6643020D" w:rsidR="00745CDB" w:rsidRDefault="00723586">
      <w:pPr>
        <w:numPr>
          <w:ilvl w:val="0"/>
          <w:numId w:val="3"/>
        </w:numPr>
        <w:ind w:left="1080"/>
      </w:pPr>
      <w:r>
        <w:t xml:space="preserve">Los árboles, los espacios verdes y la naturaleza mejoran la calidad del espacio vital y la </w:t>
      </w:r>
      <w:r>
        <w:rPr>
          <w:b/>
        </w:rPr>
        <w:t>distintividad de los lugares en los que vivimos</w:t>
      </w:r>
      <w:r>
        <w:t xml:space="preserve">. Muchas ciudades usan esto en sus lemas oficiales: Raleigh, Carolina del Norte es la ciudad de los robles, y Atlanta es la ciudad en un bosque de árboles (Beatley, 2023). </w:t>
      </w:r>
    </w:p>
    <w:p w14:paraId="5A19E58C" w14:textId="79AAB170" w:rsidR="00745CDB" w:rsidRDefault="00723586">
      <w:pPr>
        <w:numPr>
          <w:ilvl w:val="0"/>
          <w:numId w:val="2"/>
        </w:numPr>
        <w:ind w:left="1080"/>
      </w:pPr>
      <w:r>
        <w:t xml:space="preserve">Los árboles más viejos conectan </w:t>
      </w:r>
      <w:r>
        <w:rPr>
          <w:b/>
        </w:rPr>
        <w:t>generaciones e historia</w:t>
      </w:r>
      <w:r>
        <w:t xml:space="preserve">. Estar cerca de árboles más viejos y más grandes hace más vívida la experiencia de que generaciones anteriores también han estado allí (Beatley, 2023). </w:t>
      </w:r>
    </w:p>
    <w:p w14:paraId="2E8819A1" w14:textId="0599D8C9" w:rsidR="00745CDB" w:rsidRDefault="00723586">
      <w:pPr>
        <w:numPr>
          <w:ilvl w:val="0"/>
          <w:numId w:val="2"/>
        </w:numPr>
        <w:ind w:left="1080"/>
      </w:pPr>
      <w:r>
        <w:lastRenderedPageBreak/>
        <w:t xml:space="preserve">Convertir los espacios vacíos (lotes, etc.) en lugares vibrantes que reflejen la estética, los valores culturales y las fortalezas de una </w:t>
      </w:r>
      <w:r>
        <w:rPr>
          <w:b/>
        </w:rPr>
        <w:t>comunidad crea un sentido de orgullo comunitario y propiedad</w:t>
      </w:r>
      <w:r>
        <w:t xml:space="preserve"> entre los residentes. (“How Creative Placemaking Transforms Vacant Properties into Vibrant Community Spaces.”, 2023). </w:t>
      </w:r>
    </w:p>
    <w:p w14:paraId="364C134D" w14:textId="77777777" w:rsidR="00745CDB" w:rsidRDefault="00745CDB">
      <w:pPr>
        <w:shd w:val="clear" w:color="auto" w:fill="FFFFFF"/>
        <w:rPr>
          <w:b/>
        </w:rPr>
      </w:pPr>
    </w:p>
    <w:p w14:paraId="1C14B3DC" w14:textId="77777777" w:rsidR="00E769FF" w:rsidRDefault="00E769FF">
      <w:pPr>
        <w:shd w:val="clear" w:color="auto" w:fill="FFFFFF"/>
        <w:rPr>
          <w:b/>
          <w:color w:val="237D12"/>
        </w:rPr>
      </w:pPr>
    </w:p>
    <w:p w14:paraId="25D589B3" w14:textId="77777777" w:rsidR="00E769FF" w:rsidRDefault="00E769FF">
      <w:pPr>
        <w:shd w:val="clear" w:color="auto" w:fill="FFFFFF"/>
        <w:rPr>
          <w:b/>
          <w:color w:val="237D12"/>
        </w:rPr>
      </w:pPr>
    </w:p>
    <w:p w14:paraId="459A493B" w14:textId="5DEB513D" w:rsidR="00745CDB" w:rsidRPr="00E769FF" w:rsidRDefault="00745CDB" w:rsidP="1855F773">
      <w:pPr>
        <w:shd w:val="clear" w:color="auto" w:fill="FFFFFF" w:themeFill="background1"/>
        <w:rPr>
          <w:b/>
          <w:bCs/>
          <w:color w:val="237D12" w:themeColor="text2"/>
        </w:rPr>
      </w:pPr>
    </w:p>
    <w:p w14:paraId="577DD990" w14:textId="59488EF1" w:rsidR="00745CDB" w:rsidRPr="00E769FF" w:rsidRDefault="00745CDB" w:rsidP="1855F773">
      <w:pPr>
        <w:shd w:val="clear" w:color="auto" w:fill="FFFFFF" w:themeFill="background1"/>
        <w:rPr>
          <w:b/>
          <w:bCs/>
          <w:color w:val="237D12" w:themeColor="text2"/>
        </w:rPr>
      </w:pPr>
    </w:p>
    <w:p w14:paraId="1F8D3456" w14:textId="23E6AA27" w:rsidR="00745CDB" w:rsidRPr="00E769FF" w:rsidRDefault="00723586" w:rsidP="1855F773">
      <w:pPr>
        <w:shd w:val="clear" w:color="auto" w:fill="FFFFFF" w:themeFill="background1"/>
        <w:rPr>
          <w:b/>
          <w:bCs/>
          <w:color w:val="237D12"/>
        </w:rPr>
      </w:pPr>
      <w:r>
        <w:rPr>
          <w:b/>
          <w:color w:val="237D12" w:themeColor="text2"/>
        </w:rPr>
        <w:t xml:space="preserve">Seguridad y paz </w:t>
      </w:r>
    </w:p>
    <w:p w14:paraId="02C63C86" w14:textId="7595CD65" w:rsidR="00E769FF" w:rsidRDefault="00723586" w:rsidP="00E769FF">
      <w:pPr>
        <w:numPr>
          <w:ilvl w:val="0"/>
          <w:numId w:val="1"/>
        </w:numPr>
        <w:ind w:left="1080"/>
      </w:pPr>
      <w:r>
        <w:t xml:space="preserve">Los vecindarios en los que hay árboles frente a las casas tienen </w:t>
      </w:r>
      <w:r>
        <w:rPr>
          <w:b/>
        </w:rPr>
        <w:t>tasas de criminalidad más bajas</w:t>
      </w:r>
      <w:r>
        <w:t xml:space="preserve"> (Donovan, 2010). </w:t>
      </w:r>
    </w:p>
    <w:p w14:paraId="12ABC2FE" w14:textId="5E540EE9" w:rsidR="00745CDB" w:rsidRDefault="00E769FF" w:rsidP="00E769FF">
      <w:pPr>
        <w:numPr>
          <w:ilvl w:val="0"/>
          <w:numId w:val="1"/>
        </w:numPr>
        <w:ind w:left="1080"/>
      </w:pPr>
      <w:r>
        <w:t>En los vecindarios desfavorecidos de Filadelfia, transformar los espacios vacíos en áreas parecidas a parques o simplemente eliminar la basura y limpiarlos redujo la delincuencia en general en más del 13% y la violencia con armas de fuego en un 30% (Dengler, 2018).</w:t>
      </w:r>
    </w:p>
    <w:p w14:paraId="626434D5" w14:textId="77777777" w:rsidR="00745CDB" w:rsidRDefault="00745CDB">
      <w:pPr>
        <w:shd w:val="clear" w:color="auto" w:fill="FFFFFF"/>
        <w:rPr>
          <w:b/>
        </w:rPr>
      </w:pPr>
    </w:p>
    <w:p w14:paraId="394BAFD0" w14:textId="77777777" w:rsidR="00745CDB" w:rsidRPr="00E769FF" w:rsidRDefault="00723586">
      <w:pPr>
        <w:shd w:val="clear" w:color="auto" w:fill="FFFFFF"/>
        <w:rPr>
          <w:b/>
          <w:color w:val="237D12"/>
        </w:rPr>
      </w:pPr>
      <w:r>
        <w:rPr>
          <w:b/>
          <w:color w:val="237D12"/>
        </w:rPr>
        <w:t xml:space="preserve">Huertas comunitarias  </w:t>
      </w:r>
    </w:p>
    <w:p w14:paraId="27A48FA3" w14:textId="77777777" w:rsidR="00745CDB" w:rsidRDefault="00723586">
      <w:pPr>
        <w:numPr>
          <w:ilvl w:val="0"/>
          <w:numId w:val="5"/>
        </w:numPr>
        <w:ind w:left="1080"/>
      </w:pPr>
      <w:r>
        <w:t xml:space="preserve">Las huertas comunitarias permiten crear lazos sociales y promover un mayor </w:t>
      </w:r>
      <w:r>
        <w:rPr>
          <w:b/>
        </w:rPr>
        <w:t>mayor sentido de comunidad.</w:t>
      </w:r>
      <w:r>
        <w:t xml:space="preserve"> Estas conexiones ayudan a reducir la delincuencia, empoderan a los residentes y les permiten sentirse seguros en sus vecindarios (Munro, 2013). </w:t>
      </w:r>
    </w:p>
    <w:p w14:paraId="6F272838" w14:textId="321BEE9F" w:rsidR="00745CDB" w:rsidRDefault="00723586">
      <w:pPr>
        <w:numPr>
          <w:ilvl w:val="0"/>
          <w:numId w:val="5"/>
        </w:numPr>
        <w:ind w:left="1080"/>
      </w:pPr>
      <w:r>
        <w:t xml:space="preserve">Un programa de huertas comunitarias puede </w:t>
      </w:r>
      <w:r>
        <w:rPr>
          <w:b/>
        </w:rPr>
        <w:t>reducir la inseguridad alimentaria</w:t>
      </w:r>
      <w:r>
        <w:t xml:space="preserve">, mejorar la ingesta dietética y fortalecer las relaciones familiares. (Carney et al., 2011). </w:t>
      </w:r>
    </w:p>
    <w:p w14:paraId="4C3EDB89" w14:textId="77777777" w:rsidR="00745CDB" w:rsidRPr="00E769FF" w:rsidRDefault="00745CDB">
      <w:pPr>
        <w:rPr>
          <w:rFonts w:ascii="Arial" w:eastAsia="Arial" w:hAnsi="Arial" w:cs="Arial"/>
          <w:b/>
          <w:color w:val="237D12"/>
          <w:u w:val="single"/>
        </w:rPr>
      </w:pPr>
    </w:p>
    <w:p w14:paraId="227905E4" w14:textId="77777777" w:rsidR="00745CDB" w:rsidRPr="00E769FF" w:rsidRDefault="00723586">
      <w:pPr>
        <w:rPr>
          <w:rFonts w:ascii="Arial" w:eastAsia="Arial" w:hAnsi="Arial" w:cs="Arial"/>
          <w:b/>
          <w:color w:val="237D12"/>
          <w:u w:val="single"/>
        </w:rPr>
      </w:pPr>
      <w:r>
        <w:rPr>
          <w:rFonts w:ascii="Arial" w:hAnsi="Arial"/>
          <w:b/>
          <w:color w:val="237D12"/>
          <w:u w:val="single"/>
        </w:rPr>
        <w:t xml:space="preserve">Referencias </w:t>
      </w:r>
    </w:p>
    <w:p w14:paraId="17E3BD9E" w14:textId="77777777" w:rsidR="00745CDB" w:rsidRDefault="00723586">
      <w:pPr>
        <w:shd w:val="clear" w:color="auto" w:fill="FFFFFF"/>
      </w:pPr>
      <w:r>
        <w:t xml:space="preserve">Beatley, T. (2023). </w:t>
      </w:r>
      <w:r>
        <w:rPr>
          <w:i/>
        </w:rPr>
        <w:t>Canopy Cities: Protecting and expanding urban forests</w:t>
      </w:r>
      <w:r>
        <w:t xml:space="preserve">. Routledge. </w:t>
      </w:r>
    </w:p>
    <w:p w14:paraId="0078517E" w14:textId="77777777" w:rsidR="00C449B4" w:rsidRDefault="00C449B4">
      <w:pPr>
        <w:shd w:val="clear" w:color="auto" w:fill="FFFFFF"/>
      </w:pPr>
    </w:p>
    <w:p w14:paraId="16EE1C4F" w14:textId="445F4258" w:rsidR="00745CDB" w:rsidRDefault="00723586">
      <w:pPr>
        <w:shd w:val="clear" w:color="auto" w:fill="FFFFFF"/>
      </w:pPr>
      <w:r>
        <w:t xml:space="preserve">Carney, P. A.; Hamada, J. L.; Rdesinski, R. E., Sprager, L., Nichols, K. R., Liu, B. Y., Pelayo, J., Sanchez, M., y Shannon, J. (2011). Impact of a community gardening project on vegetable intake, food security and family relationships: a community-based participatory research study. </w:t>
      </w:r>
      <w:r>
        <w:rPr>
          <w:i/>
        </w:rPr>
        <w:t>Journal of Community Health</w:t>
      </w:r>
      <w:r>
        <w:t xml:space="preserve">, </w:t>
      </w:r>
      <w:r>
        <w:rPr>
          <w:i/>
        </w:rPr>
        <w:t>37</w:t>
      </w:r>
      <w:r>
        <w:t>(4), 874–881.</w:t>
      </w:r>
      <w:hyperlink r:id="rId11">
        <w:r>
          <w:rPr>
            <w:rStyle w:val="tw4winExternal"/>
          </w:rPr>
          <w:t xml:space="preserve"> </w:t>
        </w:r>
      </w:hyperlink>
      <w:r w:rsidRPr="00F66C41">
        <w:rPr>
          <w:rFonts w:ascii="Calibri" w:eastAsia="Calibri" w:hAnsi="Calibri" w:cs="Calibri"/>
          <w:color w:val="1155CC"/>
          <w:kern w:val="0"/>
          <w:u w:val="single"/>
          <w14:ligatures w14:val="none"/>
        </w:rPr>
        <w:t>https://doi.org/10.1007/s10900-011-9522-z</w:t>
      </w:r>
      <w:r>
        <w:t xml:space="preserve"> </w:t>
      </w:r>
    </w:p>
    <w:p w14:paraId="47C0C83C" w14:textId="77777777" w:rsidR="00745CDB" w:rsidRDefault="00723586">
      <w:pPr>
        <w:shd w:val="clear" w:color="auto" w:fill="FFFFFF"/>
      </w:pPr>
      <w:r>
        <w:t xml:space="preserve"> </w:t>
      </w:r>
    </w:p>
    <w:p w14:paraId="49CE6EDA" w14:textId="1136F0FA" w:rsidR="00745CDB" w:rsidRPr="00ED7619" w:rsidRDefault="00723586">
      <w:pPr>
        <w:shd w:val="clear" w:color="auto" w:fill="FFFFFF"/>
        <w:rPr>
          <w:rStyle w:val="tw4winExternal"/>
        </w:rPr>
      </w:pPr>
      <w:r>
        <w:t xml:space="preserve">How creative placemaking transforms vacant properties into vibrant community spaces. (18 de mayo de 2023). </w:t>
      </w:r>
      <w:r>
        <w:rPr>
          <w:i/>
        </w:rPr>
        <w:t>Community Progress</w:t>
      </w:r>
      <w:r>
        <w:t>.</w:t>
      </w:r>
      <w:hyperlink r:id="rId12">
        <w:r>
          <w:t xml:space="preserve"> </w:t>
        </w:r>
      </w:hyperlink>
      <w:r w:rsidRPr="00F66C41">
        <w:rPr>
          <w:rFonts w:ascii="Calibri" w:eastAsia="Calibri" w:hAnsi="Calibri" w:cs="Calibri"/>
          <w:color w:val="1155CC"/>
          <w:kern w:val="0"/>
          <w:u w:val="single"/>
          <w14:ligatures w14:val="none"/>
        </w:rPr>
        <w:t>https://communityprogress.org/blog/revitalizing-neighborhoods-how-creative-placemaking-transforms-vacant-properties-into-vibrant-com</w:t>
      </w:r>
      <w:r>
        <w:rPr>
          <w:rStyle w:val="tw4winExternal"/>
        </w:rPr>
        <w:t xml:space="preserve"> </w:t>
      </w:r>
    </w:p>
    <w:p w14:paraId="0F7F7EDC" w14:textId="77777777" w:rsidR="00745CDB" w:rsidRDefault="00723586">
      <w:pPr>
        <w:shd w:val="clear" w:color="auto" w:fill="FFFFFF"/>
      </w:pPr>
      <w:r>
        <w:t xml:space="preserve"> </w:t>
      </w:r>
    </w:p>
    <w:p w14:paraId="29327359" w14:textId="77777777" w:rsidR="00745CDB" w:rsidRDefault="00723586">
      <w:pPr>
        <w:shd w:val="clear" w:color="auto" w:fill="FFFFFF"/>
      </w:pPr>
      <w:r>
        <w:t xml:space="preserve">Dengler, R. (2018) 26 de febrero. This City fights crime with gardening: Picking up trash and mowing vacant lots makes Philadelphia, Pennsylvania neighborhoods safer. </w:t>
      </w:r>
      <w:r>
        <w:rPr>
          <w:i/>
        </w:rPr>
        <w:t>Science</w:t>
      </w:r>
      <w:r>
        <w:t xml:space="preserve">. </w:t>
      </w:r>
    </w:p>
    <w:p w14:paraId="0F7FE45E" w14:textId="77777777" w:rsidR="00745CDB" w:rsidRDefault="00723586" w:rsidP="4ABF2D06">
      <w:pPr>
        <w:shd w:val="clear" w:color="auto" w:fill="FFFFFF" w:themeFill="background1"/>
      </w:pPr>
      <w:r>
        <w:t xml:space="preserve"> </w:t>
      </w:r>
    </w:p>
    <w:p w14:paraId="3868A51E" w14:textId="152181C8" w:rsidR="00745CDB" w:rsidRPr="00ED7619" w:rsidRDefault="00723586" w:rsidP="4ABF2D06">
      <w:pPr>
        <w:shd w:val="clear" w:color="auto" w:fill="FFFFFF" w:themeFill="background1"/>
        <w:rPr>
          <w:rStyle w:val="tw4winExternal"/>
        </w:rPr>
      </w:pPr>
      <w:r>
        <w:t xml:space="preserve">Donovan, G. H., y Prestemon, J. P. (2010). The effect of trees on crime in Portland, Oregon. </w:t>
      </w:r>
      <w:r>
        <w:rPr>
          <w:i/>
        </w:rPr>
        <w:t>Environment and Behavior</w:t>
      </w:r>
      <w:r>
        <w:t xml:space="preserve">, </w:t>
      </w:r>
      <w:r>
        <w:rPr>
          <w:i/>
        </w:rPr>
        <w:t>44</w:t>
      </w:r>
      <w:r>
        <w:t>(1), 3–30.</w:t>
      </w:r>
      <w:hyperlink r:id="rId13">
        <w:r>
          <w:rPr>
            <w:rStyle w:val="tw4winExternal"/>
          </w:rPr>
          <w:t xml:space="preserve"> </w:t>
        </w:r>
      </w:hyperlink>
      <w:r w:rsidRPr="00F66C41">
        <w:rPr>
          <w:rFonts w:ascii="Calibri" w:eastAsia="Calibri" w:hAnsi="Calibri" w:cs="Calibri"/>
          <w:color w:val="1155CC"/>
          <w:kern w:val="0"/>
          <w:u w:val="single"/>
          <w14:ligatures w14:val="none"/>
        </w:rPr>
        <w:t xml:space="preserve">https://doi.org/10.1177/0013916510383238 </w:t>
      </w:r>
    </w:p>
    <w:p w14:paraId="219347DE" w14:textId="77777777" w:rsidR="00745CDB" w:rsidRDefault="00723586">
      <w:pPr>
        <w:shd w:val="clear" w:color="auto" w:fill="FFFFFF"/>
      </w:pPr>
      <w:r>
        <w:t xml:space="preserve"> </w:t>
      </w:r>
    </w:p>
    <w:p w14:paraId="2A38CC91" w14:textId="60B439E3" w:rsidR="00745CDB" w:rsidRDefault="00723586">
      <w:pPr>
        <w:shd w:val="clear" w:color="auto" w:fill="FFFFFF"/>
      </w:pPr>
      <w:r>
        <w:t xml:space="preserve">Donovan, G. H.; Prestemon, J. P.; Gatziolis, D.; Michael, Y. L.; Kaminski, A. R. y Dadvand, P. (2022). The association between tree planting and mortality: A natural experiment and cost-benefit analysis. </w:t>
      </w:r>
      <w:r>
        <w:rPr>
          <w:i/>
        </w:rPr>
        <w:t>Environment International</w:t>
      </w:r>
      <w:r>
        <w:t xml:space="preserve">, </w:t>
      </w:r>
      <w:r>
        <w:rPr>
          <w:i/>
        </w:rPr>
        <w:t>170</w:t>
      </w:r>
      <w:r>
        <w:t>, 107609.</w:t>
      </w:r>
      <w:hyperlink r:id="rId14">
        <w:r>
          <w:rPr>
            <w:rStyle w:val="tw4winExternal"/>
          </w:rPr>
          <w:t xml:space="preserve"> </w:t>
        </w:r>
      </w:hyperlink>
      <w:r w:rsidRPr="00F66C41">
        <w:rPr>
          <w:rFonts w:ascii="Calibri" w:eastAsia="Calibri" w:hAnsi="Calibri" w:cs="Calibri"/>
          <w:color w:val="1155CC"/>
          <w:kern w:val="0"/>
          <w:u w:val="single"/>
          <w14:ligatures w14:val="none"/>
        </w:rPr>
        <w:t>https://doi.org/10.1016/j.envint.2022.107609</w:t>
      </w:r>
      <w:r>
        <w:rPr>
          <w:rStyle w:val="tw4winExternal"/>
        </w:rPr>
        <w:t xml:space="preserve"> </w:t>
      </w:r>
    </w:p>
    <w:p w14:paraId="600CA400" w14:textId="77777777" w:rsidR="00745CDB" w:rsidRDefault="00723586">
      <w:pPr>
        <w:shd w:val="clear" w:color="auto" w:fill="FFFFFF"/>
      </w:pPr>
      <w:r>
        <w:t xml:space="preserve"> </w:t>
      </w:r>
    </w:p>
    <w:p w14:paraId="5FFC7F39" w14:textId="72BA283B" w:rsidR="00745CDB" w:rsidRDefault="00723586">
      <w:pPr>
        <w:shd w:val="clear" w:color="auto" w:fill="FFFFFF"/>
      </w:pPr>
      <w:r>
        <w:t xml:space="preserve">Fisher, D. R., Svendsen, E. S., y Connolly, J. J. (2015). </w:t>
      </w:r>
      <w:r>
        <w:rPr>
          <w:i/>
        </w:rPr>
        <w:t>Urban environmental stewardship and civic engagement</w:t>
      </w:r>
      <w:r>
        <w:t>.</w:t>
      </w:r>
      <w:hyperlink r:id="rId15">
        <w:r>
          <w:rPr>
            <w:rStyle w:val="tw4winExternal"/>
          </w:rPr>
          <w:t xml:space="preserve"> </w:t>
        </w:r>
      </w:hyperlink>
      <w:r w:rsidRPr="00F66C41">
        <w:rPr>
          <w:rFonts w:ascii="Calibri" w:eastAsia="Calibri" w:hAnsi="Calibri" w:cs="Calibri"/>
          <w:color w:val="1155CC"/>
          <w:kern w:val="0"/>
          <w:u w:val="single"/>
          <w14:ligatures w14:val="none"/>
        </w:rPr>
        <w:t>https://doi.org/10.4324/9781315857589</w:t>
      </w:r>
      <w:r>
        <w:rPr>
          <w:rStyle w:val="tw4winExternal"/>
        </w:rPr>
        <w:t xml:space="preserve"> </w:t>
      </w:r>
    </w:p>
    <w:p w14:paraId="74A984C5" w14:textId="77777777" w:rsidR="00745CDB" w:rsidRDefault="00723586">
      <w:pPr>
        <w:shd w:val="clear" w:color="auto" w:fill="FFFFFF"/>
      </w:pPr>
      <w:r>
        <w:t xml:space="preserve"> </w:t>
      </w:r>
    </w:p>
    <w:p w14:paraId="26577C51" w14:textId="77777777" w:rsidR="00745CDB" w:rsidRPr="00E769FF" w:rsidRDefault="00723586">
      <w:pPr>
        <w:shd w:val="clear" w:color="auto" w:fill="FFFFFF"/>
        <w:rPr>
          <w:color w:val="0070C0"/>
        </w:rPr>
      </w:pPr>
      <w:r>
        <w:t xml:space="preserve">Munro, K. (11 de julio de 2013). </w:t>
      </w:r>
      <w:r>
        <w:rPr>
          <w:i/>
        </w:rPr>
        <w:t>Los muchos beneficios de los jardines comunitarios</w:t>
      </w:r>
      <w:r>
        <w:t xml:space="preserve">. Greenleaf Communities. </w:t>
      </w:r>
      <w:r w:rsidRPr="00F66C41">
        <w:rPr>
          <w:rFonts w:ascii="Calibri" w:eastAsia="Calibri" w:hAnsi="Calibri" w:cs="Calibri"/>
          <w:color w:val="1155CC"/>
          <w:kern w:val="0"/>
          <w:u w:val="single"/>
          <w14:ligatures w14:val="none"/>
        </w:rPr>
        <w:t>https://www.greenleafcommunities.org/</w:t>
      </w:r>
      <w:r>
        <w:rPr>
          <w:color w:val="0070C0"/>
        </w:rPr>
        <w:t xml:space="preserve"> </w:t>
      </w:r>
    </w:p>
    <w:p w14:paraId="054907EC" w14:textId="77777777" w:rsidR="00745CDB" w:rsidRDefault="00723586">
      <w:pPr>
        <w:shd w:val="clear" w:color="auto" w:fill="FFFFFF"/>
      </w:pPr>
      <w:r>
        <w:t xml:space="preserve"> </w:t>
      </w:r>
    </w:p>
    <w:p w14:paraId="5DC189B4" w14:textId="07E9ED6B" w:rsidR="00745CDB" w:rsidRPr="00ED7619" w:rsidRDefault="00723586">
      <w:pPr>
        <w:shd w:val="clear" w:color="auto" w:fill="FFFFFF"/>
        <w:rPr>
          <w:rStyle w:val="tw4winExternal"/>
        </w:rPr>
      </w:pPr>
      <w:r>
        <w:t xml:space="preserve">Piff, P. K.; Dietze, P.; Feinberg, M.; Stancato, D. M. y Keltner, D. (2015). Awe, the small self, and prosocial behavior. </w:t>
      </w:r>
      <w:r>
        <w:rPr>
          <w:i/>
        </w:rPr>
        <w:t>Journal of Personality and Social Psychology</w:t>
      </w:r>
      <w:r>
        <w:t xml:space="preserve">, </w:t>
      </w:r>
      <w:r>
        <w:rPr>
          <w:i/>
        </w:rPr>
        <w:t>108</w:t>
      </w:r>
      <w:r>
        <w:t>(6), 883–899.</w:t>
      </w:r>
      <w:hyperlink r:id="rId16">
        <w:r>
          <w:t xml:space="preserve"> </w:t>
        </w:r>
      </w:hyperlink>
      <w:r w:rsidRPr="00F66C41">
        <w:rPr>
          <w:rFonts w:ascii="Calibri" w:eastAsia="Calibri" w:hAnsi="Calibri" w:cs="Calibri"/>
          <w:color w:val="1155CC"/>
          <w:kern w:val="0"/>
          <w:u w:val="single"/>
          <w14:ligatures w14:val="none"/>
        </w:rPr>
        <w:t>https://doi.org/10.1037/pspi0000018</w:t>
      </w:r>
      <w:r>
        <w:rPr>
          <w:rStyle w:val="tw4winExternal"/>
        </w:rPr>
        <w:t xml:space="preserve"> </w:t>
      </w:r>
    </w:p>
    <w:p w14:paraId="64CC953B" w14:textId="77777777" w:rsidR="00745CDB" w:rsidRDefault="00723586">
      <w:pPr>
        <w:shd w:val="clear" w:color="auto" w:fill="FFFFFF"/>
      </w:pPr>
      <w:r>
        <w:t xml:space="preserve"> </w:t>
      </w:r>
    </w:p>
    <w:p w14:paraId="1785E648" w14:textId="779A978B" w:rsidR="00745CDB" w:rsidRPr="00ED7619" w:rsidRDefault="00723586">
      <w:pPr>
        <w:shd w:val="clear" w:color="auto" w:fill="FFFFFF"/>
        <w:rPr>
          <w:rStyle w:val="tw4winExternal"/>
        </w:rPr>
      </w:pPr>
      <w:r>
        <w:rPr>
          <w:i/>
        </w:rPr>
        <w:t>Urban Forestry Toolkit</w:t>
      </w:r>
      <w:r>
        <w:t>. (sin fecha). Vibrant Cities Lab: Resources for Urban Forestry, Trees, and Green Infrastructure.</w:t>
      </w:r>
      <w:hyperlink r:id="rId17">
        <w:r>
          <w:rPr>
            <w:rStyle w:val="tw4winExternal"/>
          </w:rPr>
          <w:t xml:space="preserve"> </w:t>
        </w:r>
      </w:hyperlink>
      <w:r w:rsidRPr="00F66C41">
        <w:rPr>
          <w:rFonts w:ascii="Calibri" w:eastAsia="Calibri" w:hAnsi="Calibri" w:cs="Calibri"/>
          <w:color w:val="1155CC"/>
          <w:kern w:val="0"/>
          <w:u w:val="single"/>
          <w14:ligatures w14:val="none"/>
        </w:rPr>
        <w:t>https://www.vibrantcitieslab.com/toolkit/</w:t>
      </w:r>
      <w:r>
        <w:rPr>
          <w:rStyle w:val="tw4winExternal"/>
        </w:rPr>
        <w:t xml:space="preserve"> </w:t>
      </w:r>
    </w:p>
    <w:p w14:paraId="06E01693" w14:textId="77777777" w:rsidR="00745CDB" w:rsidRPr="00ED7619" w:rsidRDefault="00723586">
      <w:pPr>
        <w:shd w:val="clear" w:color="auto" w:fill="FFFFFF"/>
        <w:rPr>
          <w:rStyle w:val="tw4winExternal"/>
        </w:rPr>
      </w:pPr>
      <w:r>
        <w:rPr>
          <w:rStyle w:val="tw4winExternal"/>
        </w:rPr>
        <w:t xml:space="preserve"> </w:t>
      </w:r>
    </w:p>
    <w:p w14:paraId="5DCEC4A4" w14:textId="77777777" w:rsidR="00745CDB" w:rsidRDefault="00723586">
      <w:pPr>
        <w:shd w:val="clear" w:color="auto" w:fill="FFFFFF"/>
      </w:pPr>
      <w:r>
        <w:t xml:space="preserve"> </w:t>
      </w:r>
    </w:p>
    <w:p w14:paraId="605AAD1B" w14:textId="77777777" w:rsidR="00745CDB" w:rsidRDefault="00723586">
      <w:pPr>
        <w:shd w:val="clear" w:color="auto" w:fill="FFFFFF"/>
      </w:pPr>
      <w:r>
        <w:t xml:space="preserve"> </w:t>
      </w:r>
    </w:p>
    <w:p w14:paraId="11AFC35F" w14:textId="77777777" w:rsidR="00745CDB" w:rsidRDefault="00723586">
      <w:pPr>
        <w:shd w:val="clear" w:color="auto" w:fill="FFFFFF"/>
      </w:pPr>
      <w:r>
        <w:t xml:space="preserve">  </w:t>
      </w:r>
    </w:p>
    <w:p w14:paraId="1EE6CFD5" w14:textId="77777777" w:rsidR="00745CDB" w:rsidRDefault="00745CDB">
      <w:pPr>
        <w:rPr>
          <w:rFonts w:ascii="Arial" w:eastAsia="Arial" w:hAnsi="Arial" w:cs="Arial"/>
        </w:rPr>
      </w:pPr>
    </w:p>
    <w:p w14:paraId="17BFDA53" w14:textId="77777777" w:rsidR="00745CDB" w:rsidRDefault="00745CDB">
      <w:pPr>
        <w:rPr>
          <w:rFonts w:ascii="Arial" w:eastAsia="Arial" w:hAnsi="Arial" w:cs="Arial"/>
        </w:rPr>
      </w:pPr>
    </w:p>
    <w:p w14:paraId="3627619E" w14:textId="77777777" w:rsidR="00745CDB" w:rsidRDefault="00745CDB">
      <w:pPr>
        <w:rPr>
          <w:rFonts w:ascii="Arial" w:eastAsia="Arial" w:hAnsi="Arial" w:cs="Arial"/>
        </w:rPr>
      </w:pPr>
    </w:p>
    <w:p w14:paraId="1FD8BE78" w14:textId="77777777" w:rsidR="00745CDB" w:rsidRDefault="00745CDB">
      <w:pPr>
        <w:rPr>
          <w:rFonts w:ascii="Arial" w:eastAsia="Arial" w:hAnsi="Arial" w:cs="Arial"/>
        </w:rPr>
      </w:pPr>
    </w:p>
    <w:p w14:paraId="590FD3CA" w14:textId="77777777" w:rsidR="00745CDB" w:rsidRDefault="00745CDB">
      <w:pPr>
        <w:rPr>
          <w:rFonts w:ascii="Arial" w:eastAsia="Arial" w:hAnsi="Arial" w:cs="Arial"/>
        </w:rPr>
      </w:pPr>
    </w:p>
    <w:p w14:paraId="4F3CD030" w14:textId="77777777" w:rsidR="00745CDB" w:rsidRDefault="00745CDB">
      <w:pPr>
        <w:rPr>
          <w:rFonts w:ascii="Arial" w:eastAsia="Arial" w:hAnsi="Arial" w:cs="Arial"/>
        </w:rPr>
      </w:pPr>
    </w:p>
    <w:p w14:paraId="6B0B992D" w14:textId="77777777" w:rsidR="00745CDB" w:rsidRDefault="00745CDB">
      <w:pPr>
        <w:rPr>
          <w:rFonts w:ascii="Arial" w:eastAsia="Arial" w:hAnsi="Arial" w:cs="Arial"/>
        </w:rPr>
      </w:pPr>
    </w:p>
    <w:p w14:paraId="37004816" w14:textId="77777777" w:rsidR="00745CDB" w:rsidRDefault="00745CDB">
      <w:pPr>
        <w:rPr>
          <w:rFonts w:ascii="Arial" w:eastAsia="Arial" w:hAnsi="Arial" w:cs="Arial"/>
        </w:rPr>
      </w:pPr>
    </w:p>
    <w:p w14:paraId="20DA4DD5" w14:textId="77777777" w:rsidR="00745CDB" w:rsidRDefault="00745CDB">
      <w:pPr>
        <w:rPr>
          <w:rFonts w:ascii="Arial" w:eastAsia="Arial" w:hAnsi="Arial" w:cs="Arial"/>
        </w:rPr>
      </w:pPr>
    </w:p>
    <w:p w14:paraId="71E8B60C" w14:textId="77777777" w:rsidR="00745CDB" w:rsidRDefault="00745CDB">
      <w:pPr>
        <w:rPr>
          <w:rFonts w:ascii="Arial" w:eastAsia="Arial" w:hAnsi="Arial" w:cs="Arial"/>
        </w:rPr>
      </w:pPr>
    </w:p>
    <w:p w14:paraId="079CEA1E" w14:textId="77777777" w:rsidR="00745CDB" w:rsidRDefault="00745CDB">
      <w:pPr>
        <w:rPr>
          <w:rFonts w:ascii="Arial" w:eastAsia="Arial" w:hAnsi="Arial" w:cs="Arial"/>
        </w:rPr>
      </w:pPr>
    </w:p>
    <w:p w14:paraId="29CE28D6" w14:textId="77777777" w:rsidR="00745CDB" w:rsidRDefault="00745CDB">
      <w:pPr>
        <w:rPr>
          <w:rFonts w:ascii="Arial" w:eastAsia="Arial" w:hAnsi="Arial" w:cs="Arial"/>
        </w:rPr>
      </w:pPr>
    </w:p>
    <w:p w14:paraId="65016C76" w14:textId="77777777" w:rsidR="00745CDB" w:rsidRDefault="00745CDB">
      <w:pPr>
        <w:rPr>
          <w:rFonts w:ascii="Arial" w:eastAsia="Arial" w:hAnsi="Arial" w:cs="Arial"/>
        </w:rPr>
      </w:pPr>
    </w:p>
    <w:sectPr w:rsidR="00745CD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1440" w:footer="43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61212" w14:textId="77777777" w:rsidR="001518E6" w:rsidRDefault="001518E6">
      <w:r>
        <w:separator/>
      </w:r>
    </w:p>
  </w:endnote>
  <w:endnote w:type="continuationSeparator" w:id="0">
    <w:p w14:paraId="3B363F0C" w14:textId="77777777" w:rsidR="001518E6" w:rsidRDefault="0015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17352" w14:textId="77777777" w:rsidR="00745CDB" w:rsidRDefault="007235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461DE56" w14:textId="77777777" w:rsidR="00745CDB" w:rsidRDefault="00745C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1CC5E" w14:textId="70EBDFAD" w:rsidR="00745CDB" w:rsidRDefault="007235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Arial" w:eastAsia="Arial" w:hAnsi="Arial" w:cs="Arial"/>
        <w:color w:val="237D12"/>
      </w:rPr>
    </w:pPr>
    <w:r>
      <w:rPr>
        <w:rFonts w:ascii="Arial" w:eastAsia="Arial" w:hAnsi="Arial" w:cs="Arial"/>
        <w:color w:val="237D12"/>
      </w:rPr>
      <w:fldChar w:fldCharType="begin"/>
    </w:r>
    <w:r>
      <w:rPr>
        <w:rFonts w:ascii="Arial" w:eastAsia="Arial" w:hAnsi="Arial" w:cs="Arial"/>
        <w:color w:val="237D12"/>
      </w:rPr>
      <w:instrText>PAGE</w:instrText>
    </w:r>
    <w:r>
      <w:rPr>
        <w:rFonts w:ascii="Arial" w:eastAsia="Arial" w:hAnsi="Arial" w:cs="Arial"/>
        <w:color w:val="237D12"/>
      </w:rPr>
      <w:fldChar w:fldCharType="separate"/>
    </w:r>
    <w:r w:rsidR="00B530C9">
      <w:rPr>
        <w:rFonts w:ascii="Arial" w:eastAsia="Arial" w:hAnsi="Arial" w:cs="Arial"/>
        <w:color w:val="237D12"/>
      </w:rPr>
      <w:t>2</w:t>
    </w:r>
    <w:r>
      <w:rPr>
        <w:rFonts w:ascii="Arial" w:eastAsia="Arial" w:hAnsi="Arial" w:cs="Arial"/>
        <w:color w:val="237D12"/>
      </w:rPr>
      <w:fldChar w:fldCharType="end"/>
    </w:r>
  </w:p>
  <w:p w14:paraId="6D39F73B" w14:textId="77777777" w:rsidR="00745CDB" w:rsidRDefault="007235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3B9CCD42" wp14:editId="097B30E6">
          <wp:simplePos x="0" y="0"/>
          <wp:positionH relativeFrom="column">
            <wp:posOffset>-913763</wp:posOffset>
          </wp:positionH>
          <wp:positionV relativeFrom="paragraph">
            <wp:posOffset>-3888857</wp:posOffset>
          </wp:positionV>
          <wp:extent cx="7824979" cy="4347210"/>
          <wp:effectExtent l="0" t="0" r="0" b="0"/>
          <wp:wrapNone/>
          <wp:docPr id="1780902434" name="image3.png" descr="A white background with a white wav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A white background with a white wave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4979" cy="434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 wp14:anchorId="560FABD0" wp14:editId="323F369C">
          <wp:simplePos x="0" y="0"/>
          <wp:positionH relativeFrom="column">
            <wp:posOffset>3998071</wp:posOffset>
          </wp:positionH>
          <wp:positionV relativeFrom="paragraph">
            <wp:posOffset>-236219</wp:posOffset>
          </wp:positionV>
          <wp:extent cx="1433195" cy="382270"/>
          <wp:effectExtent l="0" t="0" r="0" b="0"/>
          <wp:wrapNone/>
          <wp:docPr id="1780902433" name="image1.png" descr="A green text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een text on a black background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843EE" w14:textId="77777777" w:rsidR="00745CDB" w:rsidRDefault="00745C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772BC" w14:textId="77777777" w:rsidR="001518E6" w:rsidRDefault="001518E6">
      <w:r>
        <w:separator/>
      </w:r>
    </w:p>
  </w:footnote>
  <w:footnote w:type="continuationSeparator" w:id="0">
    <w:p w14:paraId="0DB33799" w14:textId="77777777" w:rsidR="001518E6" w:rsidRDefault="00151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1F444" w14:textId="77777777" w:rsidR="00745CDB" w:rsidRDefault="00745C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E0ABA" w14:textId="77777777" w:rsidR="00745CDB" w:rsidRDefault="00745CD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2BE2" w14:textId="77777777" w:rsidR="00745CDB" w:rsidRDefault="007235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E1ED5AA" wp14:editId="3FF7B02D">
          <wp:simplePos x="0" y="0"/>
          <wp:positionH relativeFrom="column">
            <wp:posOffset>-914015</wp:posOffset>
          </wp:positionH>
          <wp:positionV relativeFrom="paragraph">
            <wp:posOffset>-913694</wp:posOffset>
          </wp:positionV>
          <wp:extent cx="8983227" cy="4990682"/>
          <wp:effectExtent l="0" t="0" r="0" b="0"/>
          <wp:wrapNone/>
          <wp:docPr id="1780902435" name="image2.png" descr="A white and grey background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A white and grey background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83227" cy="49906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hidden="0" allowOverlap="1" wp14:anchorId="1C2E8AE3" wp14:editId="4092E674">
          <wp:simplePos x="0" y="0"/>
          <wp:positionH relativeFrom="column">
            <wp:posOffset>30146</wp:posOffset>
          </wp:positionH>
          <wp:positionV relativeFrom="paragraph">
            <wp:posOffset>-622996</wp:posOffset>
          </wp:positionV>
          <wp:extent cx="1568192" cy="418184"/>
          <wp:effectExtent l="0" t="0" r="0" b="0"/>
          <wp:wrapNone/>
          <wp:docPr id="1780902432" name="image1.png" descr="A green text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een text on a black background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E1897"/>
    <w:multiLevelType w:val="multilevel"/>
    <w:tmpl w:val="ACC48E4C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3134B7"/>
    <w:multiLevelType w:val="multilevel"/>
    <w:tmpl w:val="98B6034E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D351C8"/>
    <w:multiLevelType w:val="hybridMultilevel"/>
    <w:tmpl w:val="B6B6D53C"/>
    <w:lvl w:ilvl="0" w:tplc="1CEE3D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DA70E5"/>
    <w:multiLevelType w:val="multilevel"/>
    <w:tmpl w:val="30268814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D284AEE"/>
    <w:multiLevelType w:val="multilevel"/>
    <w:tmpl w:val="ECEA62C6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D544641"/>
    <w:multiLevelType w:val="multilevel"/>
    <w:tmpl w:val="32FAF81E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D9B194A"/>
    <w:multiLevelType w:val="multilevel"/>
    <w:tmpl w:val="FB4064AE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5171989">
    <w:abstractNumId w:val="0"/>
  </w:num>
  <w:num w:numId="2" w16cid:durableId="1999307964">
    <w:abstractNumId w:val="1"/>
  </w:num>
  <w:num w:numId="3" w16cid:durableId="1346201521">
    <w:abstractNumId w:val="6"/>
  </w:num>
  <w:num w:numId="4" w16cid:durableId="670329020">
    <w:abstractNumId w:val="4"/>
  </w:num>
  <w:num w:numId="5" w16cid:durableId="799613823">
    <w:abstractNumId w:val="3"/>
  </w:num>
  <w:num w:numId="6" w16cid:durableId="861939882">
    <w:abstractNumId w:val="5"/>
  </w:num>
  <w:num w:numId="7" w16cid:durableId="391852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CDB"/>
    <w:rsid w:val="001229D4"/>
    <w:rsid w:val="001518E6"/>
    <w:rsid w:val="003A4991"/>
    <w:rsid w:val="003E2EDF"/>
    <w:rsid w:val="005D532D"/>
    <w:rsid w:val="00610260"/>
    <w:rsid w:val="00723586"/>
    <w:rsid w:val="00737E67"/>
    <w:rsid w:val="00745CDB"/>
    <w:rsid w:val="00B530C9"/>
    <w:rsid w:val="00BF3EB6"/>
    <w:rsid w:val="00C077D0"/>
    <w:rsid w:val="00C449B4"/>
    <w:rsid w:val="00C51751"/>
    <w:rsid w:val="00E761EB"/>
    <w:rsid w:val="00E769FF"/>
    <w:rsid w:val="00ED372C"/>
    <w:rsid w:val="00ED7619"/>
    <w:rsid w:val="00F66C41"/>
    <w:rsid w:val="09738160"/>
    <w:rsid w:val="0D66E20B"/>
    <w:rsid w:val="0D8A0883"/>
    <w:rsid w:val="1855F773"/>
    <w:rsid w:val="1DCB19A0"/>
    <w:rsid w:val="23E06FE7"/>
    <w:rsid w:val="24CD96C7"/>
    <w:rsid w:val="29A75092"/>
    <w:rsid w:val="2CBE5C96"/>
    <w:rsid w:val="2DA19BD9"/>
    <w:rsid w:val="313A71E6"/>
    <w:rsid w:val="3AA9AD68"/>
    <w:rsid w:val="3C7AFD84"/>
    <w:rsid w:val="4ABF2D06"/>
    <w:rsid w:val="4CFEEE1B"/>
    <w:rsid w:val="4E8FA3A0"/>
    <w:rsid w:val="62EFBC44"/>
    <w:rsid w:val="6414EB70"/>
    <w:rsid w:val="64DA7FBE"/>
    <w:rsid w:val="6F8AEF20"/>
    <w:rsid w:val="7EF6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6ABD7"/>
  <w15:docId w15:val="{6E27826F-2BC8-4693-A2A1-478CD076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9D4"/>
    <w:pPr>
      <w:spacing w:after="0" w:line="240" w:lineRule="auto"/>
    </w:pPr>
    <w:rPr>
      <w:rFonts w:ascii="Avenir Light" w:eastAsiaTheme="minorHAnsi" w:hAnsi="Avenir Light" w:cs="AngsanaUPC"/>
      <w:kern w:val="2"/>
      <w:sz w:val="24"/>
      <w:szCs w:val="24"/>
      <w:lang w:val="en-US"/>
      <w14:ligatures w14:val="standardContextual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1229D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229D4"/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w4winExternal">
    <w:name w:val="tw4winExternal"/>
    <w:rsid w:val="00C077D0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C077D0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i.org/10.1177/0013916510383238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communityprogress.org/blog/revitalizing-neighborhoods-how-creative-placemaking-transforms-vacant-properties-into-vibrant-com" TargetMode="External"/><Relationship Id="rId17" Type="http://schemas.openxmlformats.org/officeDocument/2006/relationships/hyperlink" Target="https://www.vibrantcitieslab.com/toolkit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37/pspi000001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007/s10900-011-9522-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oi.org/10.4324/9781315857589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i.org/10.1016/j.envint.2022.107609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lxJIARKP4t1TyQ65azVV56uBoQ==">CgMxLjA4AHIhMWdXelgtU1dTS1RIZ3FKQ0llZ0tlVm5DVWxJSFUzUHlo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4F68D6-391E-48E0-BF21-71FD72899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970583-73E3-4771-AA10-B6EEB13006BA}">
  <ds:schemaRefs>
    <ds:schemaRef ds:uri="http://schemas.microsoft.com/office/2006/metadata/properties"/>
    <ds:schemaRef ds:uri="http://schemas.microsoft.com/office/infopath/2007/PartnerControls"/>
    <ds:schemaRef ds:uri="5888fc64-4fc7-4ce5-9021-c38539a81fbe"/>
  </ds:schemaRefs>
</ds:datastoreItem>
</file>

<file path=customXml/itemProps4.xml><?xml version="1.0" encoding="utf-8"?>
<ds:datastoreItem xmlns:ds="http://schemas.openxmlformats.org/officeDocument/2006/customXml" ds:itemID="{99A220E7-7282-4E50-9669-BBBD2968D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868</Words>
  <Characters>4951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Baxter, Ian (ib7jx)</dc:creator>
  <cp:lastModifiedBy>Jennie Mummert</cp:lastModifiedBy>
  <cp:revision>2</cp:revision>
  <dcterms:created xsi:type="dcterms:W3CDTF">2025-03-28T18:38:00Z</dcterms:created>
  <dcterms:modified xsi:type="dcterms:W3CDTF">2025-03-28T18:38:00Z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