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C038C" w14:textId="63753F10" w:rsidR="000220D5" w:rsidRPr="00C12D25" w:rsidRDefault="004B4BCE" w:rsidP="50BC1DCF">
      <w:pPr>
        <w:rPr>
          <w:rFonts w:ascii="Arial" w:eastAsia="Arial" w:hAnsi="Arial" w:cs="Arial"/>
          <w:sz w:val="48"/>
          <w:szCs w:val="48"/>
        </w:rPr>
      </w:pPr>
      <w:proofErr w:type="spellStart"/>
      <w:r>
        <w:rPr>
          <w:rFonts w:ascii="Arial" w:hAnsi="Arial"/>
          <w:b/>
          <w:color w:val="227C12"/>
          <w:sz w:val="48"/>
        </w:rPr>
        <w:t>Espacios</w:t>
      </w:r>
      <w:proofErr w:type="spellEnd"/>
      <w:r>
        <w:rPr>
          <w:rFonts w:ascii="Arial" w:hAnsi="Arial"/>
          <w:b/>
          <w:color w:val="227C12"/>
          <w:sz w:val="48"/>
        </w:rPr>
        <w:t xml:space="preserve"> </w:t>
      </w:r>
      <w:proofErr w:type="spellStart"/>
      <w:r>
        <w:rPr>
          <w:rFonts w:ascii="Arial" w:hAnsi="Arial"/>
          <w:b/>
          <w:color w:val="227C12"/>
          <w:sz w:val="48"/>
        </w:rPr>
        <w:t>verdes</w:t>
      </w:r>
      <w:proofErr w:type="spellEnd"/>
      <w:r>
        <w:rPr>
          <w:rFonts w:ascii="Arial" w:hAnsi="Arial"/>
          <w:b/>
          <w:color w:val="227C12"/>
          <w:sz w:val="48"/>
        </w:rPr>
        <w:t xml:space="preserve">, </w:t>
      </w:r>
      <w:proofErr w:type="spellStart"/>
      <w:r>
        <w:rPr>
          <w:rFonts w:ascii="Arial" w:hAnsi="Arial"/>
          <w:b/>
          <w:color w:val="227C12"/>
          <w:sz w:val="48"/>
        </w:rPr>
        <w:t>gentrificación</w:t>
      </w:r>
      <w:proofErr w:type="spellEnd"/>
      <w:r>
        <w:rPr>
          <w:rFonts w:ascii="Arial" w:hAnsi="Arial"/>
          <w:b/>
          <w:color w:val="227C12"/>
          <w:sz w:val="48"/>
        </w:rPr>
        <w:t xml:space="preserve"> y </w:t>
      </w:r>
      <w:proofErr w:type="spellStart"/>
      <w:r>
        <w:rPr>
          <w:rFonts w:ascii="Arial" w:hAnsi="Arial"/>
          <w:b/>
          <w:color w:val="227C12"/>
          <w:sz w:val="48"/>
        </w:rPr>
        <w:t>desplazamiento</w:t>
      </w:r>
      <w:proofErr w:type="spellEnd"/>
    </w:p>
    <w:p w14:paraId="3F7A5DDE" w14:textId="77777777" w:rsidR="00780ABD" w:rsidRDefault="3B9F02B8" w:rsidP="7BC6DAD4">
      <w:pPr>
        <w:rPr>
          <w:rFonts w:ascii="Arial" w:eastAsia="Times New Roman" w:hAnsi="Arial" w:cs="Arial"/>
          <w:b/>
          <w:bCs/>
          <w:color w:val="237D12" w:themeColor="text2"/>
        </w:rPr>
      </w:pPr>
      <w:r>
        <w:rPr>
          <w:rFonts w:ascii="Arial" w:hAnsi="Arial"/>
          <w:b/>
          <w:color w:val="237D12" w:themeColor="text2"/>
        </w:rPr>
        <w:t>2024</w:t>
      </w:r>
    </w:p>
    <w:p w14:paraId="1687C0EE" w14:textId="44F3290B" w:rsidR="3B9F02B8" w:rsidRDefault="00780ABD" w:rsidP="7BC6DAD4">
      <w:pPr>
        <w:rPr>
          <w:rFonts w:ascii="Arial" w:eastAsia="Times New Roman" w:hAnsi="Arial" w:cs="Arial"/>
          <w:b/>
          <w:bCs/>
          <w:color w:val="237D12" w:themeColor="text2"/>
        </w:rPr>
      </w:pPr>
      <w:r>
        <w:rPr>
          <w:rFonts w:ascii="Arial" w:hAnsi="Arial"/>
          <w:b/>
          <w:i/>
          <w:color w:val="237D12" w:themeColor="text2"/>
        </w:rPr>
        <w:t xml:space="preserve">Una </w:t>
      </w:r>
      <w:proofErr w:type="spellStart"/>
      <w:r>
        <w:rPr>
          <w:rFonts w:ascii="Arial" w:hAnsi="Arial"/>
          <w:b/>
          <w:i/>
          <w:color w:val="237D12" w:themeColor="text2"/>
        </w:rPr>
        <w:t>selección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de </w:t>
      </w:r>
      <w:proofErr w:type="spellStart"/>
      <w:r>
        <w:rPr>
          <w:rFonts w:ascii="Arial" w:hAnsi="Arial"/>
          <w:b/>
          <w:i/>
          <w:color w:val="237D12" w:themeColor="text2"/>
        </w:rPr>
        <w:t>hechos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y </w:t>
      </w:r>
      <w:proofErr w:type="spellStart"/>
      <w:r>
        <w:rPr>
          <w:rFonts w:ascii="Arial" w:hAnsi="Arial"/>
          <w:b/>
          <w:i/>
          <w:color w:val="237D12" w:themeColor="text2"/>
        </w:rPr>
        <w:t>recursos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i/>
          <w:color w:val="237D12" w:themeColor="text2"/>
        </w:rPr>
        <w:t>respaldados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</w:t>
      </w:r>
      <w:proofErr w:type="spellStart"/>
      <w:r>
        <w:rPr>
          <w:rFonts w:ascii="Arial" w:hAnsi="Arial"/>
          <w:b/>
          <w:i/>
          <w:color w:val="237D12" w:themeColor="text2"/>
        </w:rPr>
        <w:t>por</w:t>
      </w:r>
      <w:proofErr w:type="spellEnd"/>
      <w:r>
        <w:rPr>
          <w:rFonts w:ascii="Arial" w:hAnsi="Arial"/>
          <w:b/>
          <w:i/>
          <w:color w:val="237D12" w:themeColor="text2"/>
        </w:rPr>
        <w:t xml:space="preserve"> la </w:t>
      </w:r>
      <w:proofErr w:type="spellStart"/>
      <w:r>
        <w:rPr>
          <w:rFonts w:ascii="Arial" w:hAnsi="Arial"/>
          <w:b/>
          <w:i/>
          <w:color w:val="237D12" w:themeColor="text2"/>
        </w:rPr>
        <w:t>investigación</w:t>
      </w:r>
      <w:proofErr w:type="spellEnd"/>
      <w:r>
        <w:rPr>
          <w:rFonts w:ascii="Arial" w:hAnsi="Arial"/>
          <w:b/>
          <w:color w:val="237D12" w:themeColor="text2"/>
        </w:rPr>
        <w:t> </w:t>
      </w:r>
    </w:p>
    <w:p w14:paraId="6EC5490B" w14:textId="3757ED1F" w:rsidR="7BC6DAD4" w:rsidRDefault="7BC6DAD4" w:rsidP="7BC6DAD4">
      <w:pPr>
        <w:rPr>
          <w:rFonts w:ascii="Arial" w:eastAsia="Times New Roman" w:hAnsi="Arial" w:cs="Arial"/>
          <w:b/>
          <w:bCs/>
          <w:color w:val="237D12" w:themeColor="text2"/>
        </w:rPr>
      </w:pPr>
    </w:p>
    <w:p w14:paraId="752A38A7" w14:textId="6540AABF" w:rsidR="3B9F02B8" w:rsidRPr="00780ABD" w:rsidRDefault="3B9F02B8" w:rsidP="7BC6DAD4">
      <w:pPr>
        <w:rPr>
          <w:rFonts w:ascii="Arial" w:eastAsia="Times New Roman" w:hAnsi="Arial" w:cs="Arial"/>
          <w:b/>
          <w:bCs/>
          <w:color w:val="237D12" w:themeColor="text2"/>
          <w:sz w:val="48"/>
          <w:szCs w:val="48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Descripción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general</w:t>
      </w:r>
    </w:p>
    <w:p w14:paraId="788DD4B1" w14:textId="2C9F3B3B" w:rsidR="00002913" w:rsidRPr="006C5A53" w:rsidRDefault="00002913" w:rsidP="78D9981C">
      <w:pPr>
        <w:rPr>
          <w:rFonts w:ascii="Arial" w:eastAsia="Arial" w:hAnsi="Arial" w:cs="Arial"/>
          <w:b/>
          <w:bCs/>
          <w:color w:val="237D12" w:themeColor="text2"/>
        </w:rPr>
      </w:pPr>
      <w:r>
        <w:rPr>
          <w:color w:val="434343" w:themeColor="text1"/>
        </w:rPr>
        <w:t xml:space="preserve">A </w:t>
      </w:r>
      <w:proofErr w:type="spellStart"/>
      <w:r>
        <w:rPr>
          <w:color w:val="434343" w:themeColor="text1"/>
        </w:rPr>
        <w:t>pesar</w:t>
      </w:r>
      <w:proofErr w:type="spellEnd"/>
      <w:r>
        <w:rPr>
          <w:color w:val="434343" w:themeColor="text1"/>
        </w:rPr>
        <w:t xml:space="preserve"> de la </w:t>
      </w:r>
      <w:proofErr w:type="spellStart"/>
      <w:r>
        <w:rPr>
          <w:color w:val="434343" w:themeColor="text1"/>
        </w:rPr>
        <w:t>evidencia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los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muchos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beneficios</w:t>
      </w:r>
      <w:proofErr w:type="spellEnd"/>
      <w:r>
        <w:rPr>
          <w:color w:val="434343" w:themeColor="text1"/>
        </w:rPr>
        <w:t xml:space="preserve"> que </w:t>
      </w:r>
      <w:proofErr w:type="spellStart"/>
      <w:r>
        <w:rPr>
          <w:color w:val="434343" w:themeColor="text1"/>
        </w:rPr>
        <w:t>aportan</w:t>
      </w:r>
      <w:proofErr w:type="spellEnd"/>
      <w:r>
        <w:rPr>
          <w:color w:val="434343" w:themeColor="text1"/>
        </w:rPr>
        <w:t xml:space="preserve"> la </w:t>
      </w:r>
      <w:proofErr w:type="spellStart"/>
      <w:r>
        <w:rPr>
          <w:color w:val="434343" w:themeColor="text1"/>
        </w:rPr>
        <w:t>gestión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los</w:t>
      </w:r>
      <w:proofErr w:type="spellEnd"/>
      <w:r>
        <w:rPr>
          <w:color w:val="434343" w:themeColor="text1"/>
        </w:rPr>
        <w:t xml:space="preserve"> bosques </w:t>
      </w:r>
      <w:proofErr w:type="spellStart"/>
      <w:r>
        <w:rPr>
          <w:color w:val="434343" w:themeColor="text1"/>
        </w:rPr>
        <w:t>urbanos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los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espacios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verdes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las </w:t>
      </w:r>
      <w:proofErr w:type="spellStart"/>
      <w:r>
        <w:rPr>
          <w:color w:val="434343" w:themeColor="text1"/>
        </w:rPr>
        <w:t>ciudades</w:t>
      </w:r>
      <w:proofErr w:type="spellEnd"/>
      <w:r>
        <w:rPr>
          <w:color w:val="434343" w:themeColor="text1"/>
        </w:rPr>
        <w:t xml:space="preserve">, </w:t>
      </w:r>
      <w:proofErr w:type="spellStart"/>
      <w:r>
        <w:rPr>
          <w:b/>
          <w:color w:val="434343" w:themeColor="text1"/>
        </w:rPr>
        <w:t>puede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haber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una</w:t>
      </w:r>
      <w:proofErr w:type="spellEnd"/>
      <w:r>
        <w:rPr>
          <w:b/>
          <w:color w:val="434343" w:themeColor="text1"/>
        </w:rPr>
        <w:t xml:space="preserve"> considerable </w:t>
      </w:r>
      <w:proofErr w:type="spellStart"/>
      <w:r>
        <w:rPr>
          <w:b/>
          <w:color w:val="434343" w:themeColor="text1"/>
        </w:rPr>
        <w:t>preocupación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por</w:t>
      </w:r>
      <w:proofErr w:type="spellEnd"/>
      <w:r>
        <w:rPr>
          <w:b/>
          <w:color w:val="434343" w:themeColor="text1"/>
        </w:rPr>
        <w:t xml:space="preserve"> las </w:t>
      </w:r>
      <w:proofErr w:type="spellStart"/>
      <w:r>
        <w:rPr>
          <w:b/>
          <w:color w:val="434343" w:themeColor="text1"/>
        </w:rPr>
        <w:t>nuevas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iniciativas</w:t>
      </w:r>
      <w:proofErr w:type="spellEnd"/>
      <w:r>
        <w:rPr>
          <w:b/>
          <w:color w:val="434343" w:themeColor="text1"/>
        </w:rPr>
        <w:t xml:space="preserve"> que </w:t>
      </w:r>
      <w:proofErr w:type="spellStart"/>
      <w:r>
        <w:rPr>
          <w:b/>
          <w:color w:val="434343" w:themeColor="text1"/>
        </w:rPr>
        <w:t>aumentan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el</w:t>
      </w:r>
      <w:proofErr w:type="spellEnd"/>
      <w:r>
        <w:rPr>
          <w:b/>
          <w:color w:val="434343" w:themeColor="text1"/>
        </w:rPr>
        <w:t xml:space="preserve"> valor de las </w:t>
      </w:r>
      <w:proofErr w:type="spellStart"/>
      <w:r>
        <w:rPr>
          <w:b/>
          <w:color w:val="434343" w:themeColor="text1"/>
        </w:rPr>
        <w:t>propiedades</w:t>
      </w:r>
      <w:proofErr w:type="spellEnd"/>
      <w:r>
        <w:rPr>
          <w:b/>
          <w:color w:val="434343" w:themeColor="text1"/>
        </w:rPr>
        <w:t xml:space="preserve"> y que </w:t>
      </w:r>
      <w:proofErr w:type="spellStart"/>
      <w:r>
        <w:rPr>
          <w:b/>
          <w:color w:val="434343" w:themeColor="text1"/>
        </w:rPr>
        <w:t>pueden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desplazar</w:t>
      </w:r>
      <w:proofErr w:type="spellEnd"/>
      <w:r>
        <w:rPr>
          <w:b/>
          <w:color w:val="434343" w:themeColor="text1"/>
        </w:rPr>
        <w:t xml:space="preserve"> a </w:t>
      </w:r>
      <w:proofErr w:type="spellStart"/>
      <w:r>
        <w:rPr>
          <w:b/>
          <w:color w:val="434343" w:themeColor="text1"/>
        </w:rPr>
        <w:t>los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residentes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actuales</w:t>
      </w:r>
      <w:proofErr w:type="spellEnd"/>
      <w:r>
        <w:rPr>
          <w:b/>
          <w:color w:val="434343" w:themeColor="text1"/>
        </w:rPr>
        <w:t xml:space="preserve"> y de </w:t>
      </w:r>
      <w:proofErr w:type="spellStart"/>
      <w:r>
        <w:rPr>
          <w:b/>
          <w:color w:val="434343" w:themeColor="text1"/>
        </w:rPr>
        <w:t>larga</w:t>
      </w:r>
      <w:proofErr w:type="spellEnd"/>
      <w:r>
        <w:rPr>
          <w:b/>
          <w:color w:val="434343" w:themeColor="text1"/>
        </w:rPr>
        <w:t xml:space="preserve"> data</w:t>
      </w:r>
      <w:r>
        <w:rPr>
          <w:color w:val="434343" w:themeColor="text1"/>
        </w:rPr>
        <w:t xml:space="preserve">. Para </w:t>
      </w:r>
      <w:proofErr w:type="spellStart"/>
      <w:r>
        <w:rPr>
          <w:color w:val="434343" w:themeColor="text1"/>
        </w:rPr>
        <w:t>hacer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frente</w:t>
      </w:r>
      <w:proofErr w:type="spellEnd"/>
      <w:r>
        <w:rPr>
          <w:color w:val="434343" w:themeColor="text1"/>
        </w:rPr>
        <w:t xml:space="preserve"> </w:t>
      </w:r>
      <w:proofErr w:type="gramStart"/>
      <w:r>
        <w:rPr>
          <w:color w:val="434343" w:themeColor="text1"/>
        </w:rPr>
        <w:t>a</w:t>
      </w:r>
      <w:proofErr w:type="gram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estos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resultados</w:t>
      </w:r>
      <w:proofErr w:type="spellEnd"/>
      <w:r>
        <w:rPr>
          <w:color w:val="434343" w:themeColor="text1"/>
        </w:rPr>
        <w:t xml:space="preserve"> no </w:t>
      </w:r>
      <w:proofErr w:type="spellStart"/>
      <w:r>
        <w:rPr>
          <w:color w:val="434343" w:themeColor="text1"/>
        </w:rPr>
        <w:t>deseados</w:t>
      </w:r>
      <w:proofErr w:type="spellEnd"/>
      <w:r>
        <w:rPr>
          <w:color w:val="434343" w:themeColor="text1"/>
        </w:rPr>
        <w:t xml:space="preserve">, las </w:t>
      </w:r>
      <w:proofErr w:type="spellStart"/>
      <w:r>
        <w:rPr>
          <w:color w:val="434343" w:themeColor="text1"/>
        </w:rPr>
        <w:t>localidades</w:t>
      </w:r>
      <w:proofErr w:type="spellEnd"/>
      <w:r>
        <w:rPr>
          <w:color w:val="434343" w:themeColor="text1"/>
        </w:rPr>
        <w:t xml:space="preserve">, las </w:t>
      </w:r>
      <w:proofErr w:type="spellStart"/>
      <w:r>
        <w:rPr>
          <w:color w:val="434343" w:themeColor="text1"/>
        </w:rPr>
        <w:t>organizaciones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los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individuos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deben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involucrarse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un </w:t>
      </w:r>
      <w:proofErr w:type="spellStart"/>
      <w:r>
        <w:rPr>
          <w:color w:val="434343" w:themeColor="text1"/>
        </w:rPr>
        <w:t>desarrollo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verde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equitativo</w:t>
      </w:r>
      <w:proofErr w:type="spellEnd"/>
      <w:r>
        <w:rPr>
          <w:color w:val="434343" w:themeColor="text1"/>
        </w:rPr>
        <w:t xml:space="preserve"> a </w:t>
      </w:r>
      <w:proofErr w:type="spellStart"/>
      <w:r>
        <w:rPr>
          <w:color w:val="434343" w:themeColor="text1"/>
        </w:rPr>
        <w:t>través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una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variedad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políticas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actividades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participación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comunitaria</w:t>
      </w:r>
      <w:proofErr w:type="spellEnd"/>
      <w:r>
        <w:rPr>
          <w:color w:val="434343" w:themeColor="text1"/>
        </w:rPr>
        <w:t xml:space="preserve">. Hay </w:t>
      </w:r>
      <w:proofErr w:type="spellStart"/>
      <w:r>
        <w:rPr>
          <w:color w:val="434343" w:themeColor="text1"/>
        </w:rPr>
        <w:t>diversas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investigaciones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casos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prácticos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útiles</w:t>
      </w:r>
      <w:proofErr w:type="spellEnd"/>
      <w:r>
        <w:rPr>
          <w:color w:val="434343" w:themeColor="text1"/>
        </w:rPr>
        <w:t xml:space="preserve"> que </w:t>
      </w:r>
      <w:proofErr w:type="spellStart"/>
      <w:r>
        <w:rPr>
          <w:color w:val="434343" w:themeColor="text1"/>
        </w:rPr>
        <w:t>sirven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como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fundamento</w:t>
      </w:r>
      <w:proofErr w:type="spellEnd"/>
      <w:r>
        <w:rPr>
          <w:color w:val="434343" w:themeColor="text1"/>
        </w:rPr>
        <w:t xml:space="preserve"> de las </w:t>
      </w:r>
      <w:proofErr w:type="spellStart"/>
      <w:r>
        <w:rPr>
          <w:color w:val="434343" w:themeColor="text1"/>
        </w:rPr>
        <w:t>prácticas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recomendadas</w:t>
      </w:r>
      <w:proofErr w:type="spellEnd"/>
      <w:r>
        <w:rPr>
          <w:color w:val="434343" w:themeColor="text1"/>
        </w:rPr>
        <w:t xml:space="preserve"> para </w:t>
      </w:r>
      <w:proofErr w:type="spellStart"/>
      <w:r>
        <w:rPr>
          <w:color w:val="434343" w:themeColor="text1"/>
        </w:rPr>
        <w:t>garantizar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acceso</w:t>
      </w:r>
      <w:proofErr w:type="spellEnd"/>
      <w:r>
        <w:rPr>
          <w:color w:val="434343" w:themeColor="text1"/>
        </w:rPr>
        <w:t xml:space="preserve"> </w:t>
      </w:r>
      <w:proofErr w:type="gramStart"/>
      <w:r>
        <w:rPr>
          <w:color w:val="434343" w:themeColor="text1"/>
        </w:rPr>
        <w:t>a</w:t>
      </w:r>
      <w:proofErr w:type="gram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espacios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verdes</w:t>
      </w:r>
      <w:proofErr w:type="spellEnd"/>
      <w:r>
        <w:rPr>
          <w:color w:val="434343" w:themeColor="text1"/>
        </w:rPr>
        <w:t xml:space="preserve"> para </w:t>
      </w:r>
      <w:proofErr w:type="spellStart"/>
      <w:r>
        <w:rPr>
          <w:color w:val="434343" w:themeColor="text1"/>
        </w:rPr>
        <w:t>todos</w:t>
      </w:r>
      <w:proofErr w:type="spellEnd"/>
      <w:r>
        <w:rPr>
          <w:color w:val="434343" w:themeColor="text1"/>
        </w:rPr>
        <w:t xml:space="preserve"> sin </w:t>
      </w:r>
      <w:proofErr w:type="spellStart"/>
      <w:r>
        <w:rPr>
          <w:color w:val="434343" w:themeColor="text1"/>
        </w:rPr>
        <w:t>desplazar</w:t>
      </w:r>
      <w:proofErr w:type="spellEnd"/>
      <w:r>
        <w:rPr>
          <w:color w:val="434343" w:themeColor="text1"/>
        </w:rPr>
        <w:t xml:space="preserve"> a </w:t>
      </w:r>
      <w:proofErr w:type="spellStart"/>
      <w:r>
        <w:rPr>
          <w:color w:val="434343" w:themeColor="text1"/>
        </w:rPr>
        <w:t>los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residentes</w:t>
      </w:r>
      <w:proofErr w:type="spellEnd"/>
      <w:r>
        <w:rPr>
          <w:color w:val="434343" w:themeColor="text1"/>
        </w:rPr>
        <w:t xml:space="preserve">. </w:t>
      </w:r>
    </w:p>
    <w:p w14:paraId="6882DD32" w14:textId="2F6F855E" w:rsidR="00002913" w:rsidRPr="006C5A53" w:rsidRDefault="00002913" w:rsidP="7BC6DAD4">
      <w:pPr>
        <w:rPr>
          <w:rFonts w:ascii="Arial" w:eastAsia="Arial" w:hAnsi="Arial" w:cs="Arial"/>
          <w:b/>
          <w:bCs/>
          <w:color w:val="237D12" w:themeColor="text2"/>
        </w:rPr>
      </w:pPr>
    </w:p>
    <w:p w14:paraId="4930AB9B" w14:textId="764AD267" w:rsidR="00002913" w:rsidRPr="00780ABD" w:rsidRDefault="00002913" w:rsidP="7BC6DAD4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Consideraciones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clave de </w:t>
      </w:r>
      <w:proofErr w:type="spellStart"/>
      <w:r>
        <w:rPr>
          <w:rFonts w:ascii="Arial" w:hAnsi="Arial"/>
          <w:b/>
          <w:color w:val="237D12" w:themeColor="text2"/>
          <w:u w:val="single"/>
        </w:rPr>
        <w:t>los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u w:val="single"/>
        </w:rPr>
        <w:t>talleres</w:t>
      </w:r>
      <w:proofErr w:type="spellEnd"/>
    </w:p>
    <w:p w14:paraId="0E37870A" w14:textId="4B5AC69D" w:rsidR="7BC6DAD4" w:rsidRDefault="7BC6DAD4" w:rsidP="7BC6DAD4">
      <w:pPr>
        <w:rPr>
          <w:rFonts w:ascii="Arial" w:eastAsia="Arial" w:hAnsi="Arial" w:cs="Arial"/>
          <w:b/>
          <w:bCs/>
          <w:color w:val="237D12" w:themeColor="text2"/>
        </w:rPr>
      </w:pPr>
    </w:p>
    <w:p w14:paraId="2E8DD493" w14:textId="750BD9C0" w:rsidR="00002913" w:rsidRDefault="00002913" w:rsidP="7BC6DAD4">
      <w:pPr>
        <w:pStyle w:val="ListParagraph"/>
        <w:numPr>
          <w:ilvl w:val="0"/>
          <w:numId w:val="1"/>
        </w:numPr>
        <w:rPr>
          <w:rFonts w:eastAsiaTheme="minorEastAsia"/>
          <w:color w:val="434343" w:themeColor="text1"/>
        </w:rPr>
      </w:pPr>
      <w:r>
        <w:rPr>
          <w:b/>
          <w:color w:val="434343" w:themeColor="text1"/>
        </w:rPr>
        <w:t xml:space="preserve">Mala </w:t>
      </w:r>
      <w:proofErr w:type="spellStart"/>
      <w:r>
        <w:rPr>
          <w:b/>
          <w:color w:val="434343" w:themeColor="text1"/>
        </w:rPr>
        <w:t>comunicación</w:t>
      </w:r>
      <w:proofErr w:type="spellEnd"/>
      <w:r>
        <w:rPr>
          <w:b/>
          <w:color w:val="434343" w:themeColor="text1"/>
        </w:rPr>
        <w:t xml:space="preserve"> y </w:t>
      </w:r>
      <w:proofErr w:type="spellStart"/>
      <w:r>
        <w:rPr>
          <w:b/>
          <w:color w:val="434343" w:themeColor="text1"/>
        </w:rPr>
        <w:t>falta</w:t>
      </w:r>
      <w:proofErr w:type="spellEnd"/>
      <w:r>
        <w:rPr>
          <w:b/>
          <w:color w:val="434343" w:themeColor="text1"/>
        </w:rPr>
        <w:t xml:space="preserve"> de </w:t>
      </w:r>
      <w:proofErr w:type="spellStart"/>
      <w:r>
        <w:rPr>
          <w:b/>
          <w:color w:val="434343" w:themeColor="text1"/>
        </w:rPr>
        <w:t>conocimiento</w:t>
      </w:r>
      <w:proofErr w:type="spellEnd"/>
      <w:r>
        <w:rPr>
          <w:b/>
          <w:color w:val="434343" w:themeColor="text1"/>
        </w:rPr>
        <w:t>:</w:t>
      </w:r>
      <w:r>
        <w:rPr>
          <w:color w:val="434343" w:themeColor="text1"/>
        </w:rPr>
        <w:t xml:space="preserve"> Mala </w:t>
      </w:r>
      <w:proofErr w:type="spellStart"/>
      <w:r>
        <w:rPr>
          <w:color w:val="434343" w:themeColor="text1"/>
        </w:rPr>
        <w:t>comunicación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generalizada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falta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conocimiento</w:t>
      </w:r>
      <w:proofErr w:type="spellEnd"/>
      <w:r>
        <w:rPr>
          <w:color w:val="434343" w:themeColor="text1"/>
        </w:rPr>
        <w:t xml:space="preserve"> que </w:t>
      </w:r>
      <w:proofErr w:type="spellStart"/>
      <w:r>
        <w:rPr>
          <w:color w:val="434343" w:themeColor="text1"/>
        </w:rPr>
        <w:t>afecta</w:t>
      </w:r>
      <w:proofErr w:type="spellEnd"/>
      <w:r>
        <w:rPr>
          <w:color w:val="434343" w:themeColor="text1"/>
        </w:rPr>
        <w:t xml:space="preserve"> la </w:t>
      </w:r>
      <w:proofErr w:type="spellStart"/>
      <w:r>
        <w:rPr>
          <w:color w:val="434343" w:themeColor="text1"/>
        </w:rPr>
        <w:t>actitud</w:t>
      </w:r>
      <w:proofErr w:type="spellEnd"/>
      <w:r>
        <w:rPr>
          <w:color w:val="434343" w:themeColor="text1"/>
        </w:rPr>
        <w:t xml:space="preserve"> de la </w:t>
      </w:r>
      <w:proofErr w:type="spellStart"/>
      <w:r>
        <w:rPr>
          <w:color w:val="434343" w:themeColor="text1"/>
        </w:rPr>
        <w:t>comunidad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hacia</w:t>
      </w:r>
      <w:proofErr w:type="spellEnd"/>
      <w:r>
        <w:rPr>
          <w:color w:val="434343" w:themeColor="text1"/>
        </w:rPr>
        <w:t xml:space="preserve"> la </w:t>
      </w:r>
      <w:proofErr w:type="spellStart"/>
      <w:r>
        <w:rPr>
          <w:color w:val="434343" w:themeColor="text1"/>
        </w:rPr>
        <w:t>gestión</w:t>
      </w:r>
      <w:proofErr w:type="spellEnd"/>
      <w:r>
        <w:rPr>
          <w:color w:val="434343" w:themeColor="text1"/>
        </w:rPr>
        <w:t xml:space="preserve"> de bosques </w:t>
      </w:r>
      <w:proofErr w:type="spellStart"/>
      <w:r>
        <w:rPr>
          <w:color w:val="434343" w:themeColor="text1"/>
        </w:rPr>
        <w:t>urbanos</w:t>
      </w:r>
      <w:proofErr w:type="spellEnd"/>
      <w:r>
        <w:rPr>
          <w:color w:val="434343" w:themeColor="text1"/>
        </w:rPr>
        <w:t>.</w:t>
      </w:r>
    </w:p>
    <w:p w14:paraId="67D3020B" w14:textId="24AA474D" w:rsidR="00002913" w:rsidRDefault="00002913" w:rsidP="7BC6DAD4">
      <w:pPr>
        <w:pStyle w:val="ListParagraph"/>
        <w:numPr>
          <w:ilvl w:val="0"/>
          <w:numId w:val="1"/>
        </w:numPr>
        <w:rPr>
          <w:rFonts w:eastAsiaTheme="minorEastAsia"/>
          <w:color w:val="434343" w:themeColor="text1"/>
        </w:rPr>
      </w:pPr>
      <w:r>
        <w:rPr>
          <w:b/>
          <w:color w:val="434343" w:themeColor="text1"/>
        </w:rPr>
        <w:t xml:space="preserve">Impacto </w:t>
      </w:r>
      <w:proofErr w:type="spellStart"/>
      <w:r>
        <w:rPr>
          <w:b/>
          <w:color w:val="434343" w:themeColor="text1"/>
        </w:rPr>
        <w:t>en</w:t>
      </w:r>
      <w:proofErr w:type="spellEnd"/>
      <w:r>
        <w:rPr>
          <w:b/>
          <w:color w:val="434343" w:themeColor="text1"/>
        </w:rPr>
        <w:t xml:space="preserve"> la </w:t>
      </w:r>
      <w:proofErr w:type="spellStart"/>
      <w:r>
        <w:rPr>
          <w:b/>
          <w:color w:val="434343" w:themeColor="text1"/>
        </w:rPr>
        <w:t>infraestructura</w:t>
      </w:r>
      <w:proofErr w:type="spellEnd"/>
      <w:r>
        <w:rPr>
          <w:b/>
          <w:color w:val="434343" w:themeColor="text1"/>
        </w:rPr>
        <w:t>:</w:t>
      </w:r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Preocupación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por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posibles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daños</w:t>
      </w:r>
      <w:proofErr w:type="spellEnd"/>
      <w:r>
        <w:rPr>
          <w:color w:val="434343" w:themeColor="text1"/>
        </w:rPr>
        <w:t xml:space="preserve">, </w:t>
      </w:r>
      <w:proofErr w:type="spellStart"/>
      <w:r>
        <w:rPr>
          <w:color w:val="434343" w:themeColor="text1"/>
        </w:rPr>
        <w:t>como</w:t>
      </w:r>
      <w:proofErr w:type="spellEnd"/>
      <w:r>
        <w:rPr>
          <w:color w:val="434343" w:themeColor="text1"/>
        </w:rPr>
        <w:t xml:space="preserve"> que las </w:t>
      </w:r>
      <w:proofErr w:type="spellStart"/>
      <w:r>
        <w:rPr>
          <w:color w:val="434343" w:themeColor="text1"/>
        </w:rPr>
        <w:t>tuberías</w:t>
      </w:r>
      <w:proofErr w:type="spellEnd"/>
      <w:r>
        <w:rPr>
          <w:color w:val="434343" w:themeColor="text1"/>
        </w:rPr>
        <w:t xml:space="preserve"> se </w:t>
      </w:r>
      <w:proofErr w:type="spellStart"/>
      <w:r>
        <w:rPr>
          <w:color w:val="434343" w:themeColor="text1"/>
        </w:rPr>
        <w:t>averíen</w:t>
      </w:r>
      <w:proofErr w:type="spellEnd"/>
      <w:r>
        <w:rPr>
          <w:color w:val="434343" w:themeColor="text1"/>
        </w:rPr>
        <w:t xml:space="preserve">, </w:t>
      </w:r>
      <w:proofErr w:type="spellStart"/>
      <w:r>
        <w:rPr>
          <w:color w:val="434343" w:themeColor="text1"/>
        </w:rPr>
        <w:t>si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los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árboles</w:t>
      </w:r>
      <w:proofErr w:type="spellEnd"/>
      <w:r>
        <w:rPr>
          <w:color w:val="434343" w:themeColor="text1"/>
        </w:rPr>
        <w:t xml:space="preserve"> se </w:t>
      </w:r>
      <w:proofErr w:type="spellStart"/>
      <w:r>
        <w:rPr>
          <w:color w:val="434343" w:themeColor="text1"/>
        </w:rPr>
        <w:t>plantan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demasiado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cerca</w:t>
      </w:r>
      <w:proofErr w:type="spellEnd"/>
      <w:r>
        <w:rPr>
          <w:color w:val="434343" w:themeColor="text1"/>
        </w:rPr>
        <w:t xml:space="preserve"> de las casas, y la </w:t>
      </w:r>
      <w:proofErr w:type="spellStart"/>
      <w:r>
        <w:rPr>
          <w:color w:val="434343" w:themeColor="text1"/>
        </w:rPr>
        <w:t>renuencia</w:t>
      </w:r>
      <w:proofErr w:type="spellEnd"/>
      <w:r>
        <w:rPr>
          <w:color w:val="434343" w:themeColor="text1"/>
        </w:rPr>
        <w:t xml:space="preserve"> </w:t>
      </w:r>
      <w:proofErr w:type="gramStart"/>
      <w:r>
        <w:rPr>
          <w:color w:val="434343" w:themeColor="text1"/>
        </w:rPr>
        <w:t>a</w:t>
      </w:r>
      <w:proofErr w:type="gram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asumir</w:t>
      </w:r>
      <w:proofErr w:type="spellEnd"/>
      <w:r>
        <w:rPr>
          <w:color w:val="434343" w:themeColor="text1"/>
        </w:rPr>
        <w:t xml:space="preserve"> la </w:t>
      </w:r>
      <w:proofErr w:type="spellStart"/>
      <w:r>
        <w:rPr>
          <w:color w:val="434343" w:themeColor="text1"/>
        </w:rPr>
        <w:t>responsabilidad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financiera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los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problemas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resultantes</w:t>
      </w:r>
      <w:proofErr w:type="spellEnd"/>
      <w:r>
        <w:rPr>
          <w:color w:val="434343" w:themeColor="text1"/>
        </w:rPr>
        <w:t>.</w:t>
      </w:r>
    </w:p>
    <w:p w14:paraId="29B4FA5B" w14:textId="58A22886" w:rsidR="00002913" w:rsidRDefault="00002913" w:rsidP="7BC6DAD4">
      <w:pPr>
        <w:pStyle w:val="ListParagraph"/>
        <w:numPr>
          <w:ilvl w:val="0"/>
          <w:numId w:val="1"/>
        </w:numPr>
        <w:rPr>
          <w:rFonts w:eastAsiaTheme="minorEastAsia"/>
          <w:color w:val="434343" w:themeColor="text1"/>
        </w:rPr>
      </w:pPr>
      <w:proofErr w:type="spellStart"/>
      <w:r>
        <w:rPr>
          <w:b/>
          <w:color w:val="434343" w:themeColor="text1"/>
        </w:rPr>
        <w:t>Incertidumbre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sobre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los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nuevos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proyectos</w:t>
      </w:r>
      <w:proofErr w:type="spellEnd"/>
      <w:r>
        <w:rPr>
          <w:b/>
          <w:color w:val="434343" w:themeColor="text1"/>
        </w:rPr>
        <w:t>:</w:t>
      </w:r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Preocupaciones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sobre</w:t>
      </w:r>
      <w:proofErr w:type="spellEnd"/>
      <w:r>
        <w:rPr>
          <w:color w:val="434343" w:themeColor="text1"/>
        </w:rPr>
        <w:t xml:space="preserve"> la </w:t>
      </w:r>
      <w:proofErr w:type="spellStart"/>
      <w:r>
        <w:rPr>
          <w:color w:val="434343" w:themeColor="text1"/>
        </w:rPr>
        <w:t>naturaleza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los</w:t>
      </w:r>
      <w:proofErr w:type="spellEnd"/>
      <w:r>
        <w:rPr>
          <w:color w:val="434343" w:themeColor="text1"/>
        </w:rPr>
        <w:t xml:space="preserve"> "</w:t>
      </w:r>
      <w:proofErr w:type="spellStart"/>
      <w:r>
        <w:rPr>
          <w:color w:val="434343" w:themeColor="text1"/>
        </w:rPr>
        <w:t>nuevos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proyectos</w:t>
      </w:r>
      <w:proofErr w:type="spellEnd"/>
      <w:r>
        <w:rPr>
          <w:color w:val="434343" w:themeColor="text1"/>
        </w:rPr>
        <w:t xml:space="preserve">" y sus </w:t>
      </w:r>
      <w:proofErr w:type="spellStart"/>
      <w:r>
        <w:rPr>
          <w:color w:val="434343" w:themeColor="text1"/>
        </w:rPr>
        <w:t>implicaciones</w:t>
      </w:r>
      <w:proofErr w:type="spellEnd"/>
      <w:r>
        <w:rPr>
          <w:color w:val="434343" w:themeColor="text1"/>
        </w:rPr>
        <w:t xml:space="preserve"> para la </w:t>
      </w:r>
      <w:proofErr w:type="spellStart"/>
      <w:r>
        <w:rPr>
          <w:color w:val="434343" w:themeColor="text1"/>
        </w:rPr>
        <w:t>comunidad</w:t>
      </w:r>
      <w:proofErr w:type="spellEnd"/>
      <w:r>
        <w:rPr>
          <w:color w:val="434343" w:themeColor="text1"/>
        </w:rPr>
        <w:t xml:space="preserve">, </w:t>
      </w:r>
      <w:proofErr w:type="spellStart"/>
      <w:r>
        <w:rPr>
          <w:color w:val="434343" w:themeColor="text1"/>
        </w:rPr>
        <w:t>acompañadas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una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desconfianza</w:t>
      </w:r>
      <w:proofErr w:type="spellEnd"/>
      <w:r>
        <w:rPr>
          <w:color w:val="434343" w:themeColor="text1"/>
        </w:rPr>
        <w:t xml:space="preserve"> general </w:t>
      </w:r>
      <w:proofErr w:type="spellStart"/>
      <w:r>
        <w:rPr>
          <w:color w:val="434343" w:themeColor="text1"/>
        </w:rPr>
        <w:t>hacia</w:t>
      </w:r>
      <w:proofErr w:type="spellEnd"/>
      <w:r>
        <w:rPr>
          <w:color w:val="434343" w:themeColor="text1"/>
        </w:rPr>
        <w:t xml:space="preserve"> la </w:t>
      </w:r>
      <w:proofErr w:type="spellStart"/>
      <w:r>
        <w:rPr>
          <w:color w:val="434343" w:themeColor="text1"/>
        </w:rPr>
        <w:t>participación</w:t>
      </w:r>
      <w:proofErr w:type="spellEnd"/>
      <w:r>
        <w:rPr>
          <w:color w:val="434343" w:themeColor="text1"/>
        </w:rPr>
        <w:t xml:space="preserve"> del </w:t>
      </w:r>
      <w:proofErr w:type="spellStart"/>
      <w:r>
        <w:rPr>
          <w:color w:val="434343" w:themeColor="text1"/>
        </w:rPr>
        <w:t>gobierno</w:t>
      </w:r>
      <w:proofErr w:type="spellEnd"/>
      <w:r>
        <w:rPr>
          <w:color w:val="434343" w:themeColor="text1"/>
        </w:rPr>
        <w:t xml:space="preserve"> y un </w:t>
      </w:r>
      <w:proofErr w:type="spellStart"/>
      <w:r>
        <w:rPr>
          <w:color w:val="434343" w:themeColor="text1"/>
        </w:rPr>
        <w:t>deseo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inclusión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los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procesos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toma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decisiones</w:t>
      </w:r>
      <w:proofErr w:type="spellEnd"/>
      <w:r>
        <w:rPr>
          <w:color w:val="434343" w:themeColor="text1"/>
        </w:rPr>
        <w:t>.</w:t>
      </w:r>
    </w:p>
    <w:p w14:paraId="62055316" w14:textId="32598EA9" w:rsidR="00002913" w:rsidRDefault="00002913" w:rsidP="7BC6DAD4">
      <w:pPr>
        <w:pStyle w:val="ListParagraph"/>
        <w:numPr>
          <w:ilvl w:val="0"/>
          <w:numId w:val="1"/>
        </w:numPr>
        <w:rPr>
          <w:rFonts w:eastAsiaTheme="minorEastAsia"/>
          <w:color w:val="434343" w:themeColor="text1"/>
        </w:rPr>
      </w:pPr>
      <w:proofErr w:type="spellStart"/>
      <w:r>
        <w:rPr>
          <w:b/>
          <w:color w:val="434343" w:themeColor="text1"/>
        </w:rPr>
        <w:t>Decepciones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históricas</w:t>
      </w:r>
      <w:proofErr w:type="spellEnd"/>
      <w:r>
        <w:rPr>
          <w:b/>
          <w:color w:val="434343" w:themeColor="text1"/>
        </w:rPr>
        <w:t>:</w:t>
      </w:r>
      <w:r>
        <w:rPr>
          <w:color w:val="434343" w:themeColor="text1"/>
        </w:rPr>
        <w:t xml:space="preserve"> Las </w:t>
      </w:r>
      <w:proofErr w:type="spellStart"/>
      <w:r>
        <w:rPr>
          <w:color w:val="434343" w:themeColor="text1"/>
        </w:rPr>
        <w:t>experiencias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pasadas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procesos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fallidos</w:t>
      </w:r>
      <w:proofErr w:type="spellEnd"/>
      <w:r>
        <w:rPr>
          <w:color w:val="434343" w:themeColor="text1"/>
        </w:rPr>
        <w:t xml:space="preserve"> y la </w:t>
      </w:r>
      <w:proofErr w:type="spellStart"/>
      <w:r>
        <w:rPr>
          <w:color w:val="434343" w:themeColor="text1"/>
        </w:rPr>
        <w:t>participación</w:t>
      </w:r>
      <w:proofErr w:type="spellEnd"/>
      <w:r>
        <w:rPr>
          <w:color w:val="434343" w:themeColor="text1"/>
        </w:rPr>
        <w:t xml:space="preserve"> de mala </w:t>
      </w:r>
      <w:proofErr w:type="spellStart"/>
      <w:r>
        <w:rPr>
          <w:color w:val="434343" w:themeColor="text1"/>
        </w:rPr>
        <w:t>fe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han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dejado</w:t>
      </w:r>
      <w:proofErr w:type="spellEnd"/>
      <w:r>
        <w:rPr>
          <w:color w:val="434343" w:themeColor="text1"/>
        </w:rPr>
        <w:t xml:space="preserve"> </w:t>
      </w:r>
      <w:proofErr w:type="gramStart"/>
      <w:r>
        <w:rPr>
          <w:color w:val="434343" w:themeColor="text1"/>
        </w:rPr>
        <w:t>a</w:t>
      </w:r>
      <w:proofErr w:type="gram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algunas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comunidades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escépticas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sobre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éxito</w:t>
      </w:r>
      <w:proofErr w:type="spellEnd"/>
      <w:r>
        <w:rPr>
          <w:color w:val="434343" w:themeColor="text1"/>
        </w:rPr>
        <w:t xml:space="preserve"> y la </w:t>
      </w:r>
      <w:proofErr w:type="spellStart"/>
      <w:r>
        <w:rPr>
          <w:color w:val="434343" w:themeColor="text1"/>
        </w:rPr>
        <w:t>sinceridad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los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nuevos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esfuerzos</w:t>
      </w:r>
      <w:proofErr w:type="spellEnd"/>
      <w:r>
        <w:rPr>
          <w:color w:val="434343" w:themeColor="text1"/>
        </w:rPr>
        <w:t>.</w:t>
      </w:r>
    </w:p>
    <w:p w14:paraId="4D623947" w14:textId="01AC9C77" w:rsidR="7BC6DAD4" w:rsidRDefault="7BC6DAD4" w:rsidP="7BC6DAD4">
      <w:pPr>
        <w:rPr>
          <w:rFonts w:ascii="Arial" w:eastAsia="Arial" w:hAnsi="Arial" w:cs="Arial"/>
          <w:b/>
          <w:bCs/>
          <w:color w:val="237D12" w:themeColor="text2"/>
        </w:rPr>
      </w:pPr>
    </w:p>
    <w:p w14:paraId="4D1F4487" w14:textId="178B3715" w:rsidR="00002913" w:rsidRPr="00780ABD" w:rsidRDefault="00002913" w:rsidP="7BC6DAD4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  <w:r>
        <w:rPr>
          <w:rFonts w:ascii="Arial" w:hAnsi="Arial"/>
          <w:b/>
          <w:color w:val="237D12" w:themeColor="text2"/>
          <w:u w:val="single"/>
        </w:rPr>
        <w:t xml:space="preserve">Casos </w:t>
      </w:r>
      <w:proofErr w:type="spellStart"/>
      <w:r>
        <w:rPr>
          <w:rFonts w:ascii="Arial" w:hAnsi="Arial"/>
          <w:b/>
          <w:color w:val="237D12" w:themeColor="text2"/>
          <w:u w:val="single"/>
        </w:rPr>
        <w:t>prácticos</w:t>
      </w:r>
      <w:proofErr w:type="spellEnd"/>
    </w:p>
    <w:p w14:paraId="32BCEF0B" w14:textId="77777777" w:rsidR="00002913" w:rsidRDefault="00002913" w:rsidP="7BC6DAD4">
      <w:pPr>
        <w:rPr>
          <w:rFonts w:eastAsiaTheme="minorEastAsia"/>
          <w:color w:val="434343" w:themeColor="text1"/>
        </w:rPr>
      </w:pPr>
      <w:r>
        <w:rPr>
          <w:color w:val="434343" w:themeColor="text1"/>
        </w:rPr>
        <w:t xml:space="preserve">Los </w:t>
      </w:r>
      <w:proofErr w:type="spellStart"/>
      <w:r>
        <w:rPr>
          <w:color w:val="434343" w:themeColor="text1"/>
        </w:rPr>
        <w:t>siguientes</w:t>
      </w:r>
      <w:proofErr w:type="spellEnd"/>
      <w:r>
        <w:rPr>
          <w:color w:val="434343" w:themeColor="text1"/>
        </w:rPr>
        <w:t xml:space="preserve"> son </w:t>
      </w:r>
      <w:proofErr w:type="spellStart"/>
      <w:r>
        <w:rPr>
          <w:color w:val="434343" w:themeColor="text1"/>
        </w:rPr>
        <w:t>ejemplos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seleccionados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desarrollo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espacios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verdes</w:t>
      </w:r>
      <w:proofErr w:type="spellEnd"/>
      <w:r>
        <w:rPr>
          <w:color w:val="434343" w:themeColor="text1"/>
        </w:rPr>
        <w:t xml:space="preserve"> que </w:t>
      </w:r>
      <w:proofErr w:type="spellStart"/>
      <w:r>
        <w:rPr>
          <w:color w:val="434343" w:themeColor="text1"/>
        </w:rPr>
        <w:t>han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incorporado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estrategias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herramientas</w:t>
      </w:r>
      <w:proofErr w:type="spellEnd"/>
      <w:r>
        <w:rPr>
          <w:color w:val="434343" w:themeColor="text1"/>
        </w:rPr>
        <w:t xml:space="preserve"> contra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desplazamiento</w:t>
      </w:r>
      <w:proofErr w:type="spellEnd"/>
      <w:r>
        <w:rPr>
          <w:color w:val="434343" w:themeColor="text1"/>
        </w:rPr>
        <w:t xml:space="preserve"> para </w:t>
      </w:r>
      <w:proofErr w:type="spellStart"/>
      <w:r>
        <w:rPr>
          <w:color w:val="434343" w:themeColor="text1"/>
        </w:rPr>
        <w:t>promover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acceso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equitativo</w:t>
      </w:r>
      <w:proofErr w:type="spellEnd"/>
      <w:r>
        <w:rPr>
          <w:color w:val="434343" w:themeColor="text1"/>
        </w:rPr>
        <w:t xml:space="preserve"> a la </w:t>
      </w:r>
      <w:proofErr w:type="spellStart"/>
      <w:r>
        <w:rPr>
          <w:color w:val="434343" w:themeColor="text1"/>
        </w:rPr>
        <w:t>gestión</w:t>
      </w:r>
      <w:proofErr w:type="spellEnd"/>
      <w:r>
        <w:rPr>
          <w:color w:val="434343" w:themeColor="text1"/>
        </w:rPr>
        <w:t xml:space="preserve"> de bosques </w:t>
      </w:r>
      <w:proofErr w:type="spellStart"/>
      <w:r>
        <w:rPr>
          <w:color w:val="434343" w:themeColor="text1"/>
        </w:rPr>
        <w:t>urbanos</w:t>
      </w:r>
      <w:proofErr w:type="spellEnd"/>
      <w:r>
        <w:rPr>
          <w:color w:val="434343" w:themeColor="text1"/>
        </w:rPr>
        <w:t>.</w:t>
      </w:r>
    </w:p>
    <w:p w14:paraId="152B3D12" w14:textId="5CA0E453" w:rsidR="00002913" w:rsidRDefault="00002913" w:rsidP="005749D6">
      <w:pPr>
        <w:pStyle w:val="ListParagraph"/>
        <w:numPr>
          <w:ilvl w:val="0"/>
          <w:numId w:val="2"/>
        </w:numPr>
        <w:rPr>
          <w:rFonts w:eastAsiaTheme="minorEastAsia"/>
          <w:color w:val="434343" w:themeColor="text1"/>
        </w:rPr>
      </w:pPr>
      <w:r>
        <w:rPr>
          <w:b/>
          <w:color w:val="0563C1"/>
          <w:u w:val="single"/>
        </w:rPr>
        <w:t>Dequindre Cut, Ella Fitzgerald Park y Joe Louis Greenway, Detroit, Michigan</w:t>
      </w:r>
      <w:r>
        <w:rPr>
          <w:b/>
        </w:rPr>
        <w:t>:</w:t>
      </w:r>
      <w:r>
        <w:rPr>
          <w:b/>
          <w:color w:val="434343" w:themeColor="text1"/>
        </w:rPr>
        <w:t xml:space="preserve"> </w:t>
      </w:r>
      <w:r>
        <w:rPr>
          <w:color w:val="434343" w:themeColor="text1"/>
        </w:rPr>
        <w:t xml:space="preserve">Dos </w:t>
      </w:r>
      <w:proofErr w:type="spellStart"/>
      <w:r>
        <w:rPr>
          <w:color w:val="434343" w:themeColor="text1"/>
        </w:rPr>
        <w:t>iniciativas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vías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verdes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parques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Detroit </w:t>
      </w:r>
      <w:proofErr w:type="spellStart"/>
      <w:r>
        <w:rPr>
          <w:color w:val="434343" w:themeColor="text1"/>
        </w:rPr>
        <w:t>emplearon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múltiples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lastRenderedPageBreak/>
        <w:t>estrategias</w:t>
      </w:r>
      <w:proofErr w:type="spellEnd"/>
      <w:r>
        <w:rPr>
          <w:color w:val="434343" w:themeColor="text1"/>
        </w:rPr>
        <w:t xml:space="preserve"> contra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desplazamiento</w:t>
      </w:r>
      <w:proofErr w:type="spellEnd"/>
      <w:r>
        <w:rPr>
          <w:color w:val="434343" w:themeColor="text1"/>
        </w:rPr>
        <w:t xml:space="preserve"> para </w:t>
      </w:r>
      <w:proofErr w:type="spellStart"/>
      <w:r>
        <w:rPr>
          <w:color w:val="434343" w:themeColor="text1"/>
        </w:rPr>
        <w:t>garantizar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máximo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beneficio</w:t>
      </w:r>
      <w:proofErr w:type="spellEnd"/>
      <w:r>
        <w:rPr>
          <w:color w:val="434343" w:themeColor="text1"/>
        </w:rPr>
        <w:t xml:space="preserve"> para la </w:t>
      </w:r>
      <w:proofErr w:type="spellStart"/>
      <w:r>
        <w:rPr>
          <w:color w:val="434343" w:themeColor="text1"/>
        </w:rPr>
        <w:t>comunidad</w:t>
      </w:r>
      <w:proofErr w:type="spellEnd"/>
      <w:r>
        <w:rPr>
          <w:color w:val="434343" w:themeColor="text1"/>
        </w:rPr>
        <w:t xml:space="preserve">. Por </w:t>
      </w:r>
      <w:proofErr w:type="spellStart"/>
      <w:r>
        <w:rPr>
          <w:color w:val="434343" w:themeColor="text1"/>
        </w:rPr>
        <w:t>ejemplo</w:t>
      </w:r>
      <w:proofErr w:type="spellEnd"/>
      <w:r>
        <w:rPr>
          <w:color w:val="434343" w:themeColor="text1"/>
        </w:rPr>
        <w:t xml:space="preserve">,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área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por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donde</w:t>
      </w:r>
      <w:proofErr w:type="spellEnd"/>
      <w:r>
        <w:rPr>
          <w:color w:val="434343" w:themeColor="text1"/>
        </w:rPr>
        <w:t xml:space="preserve"> se </w:t>
      </w:r>
      <w:proofErr w:type="spellStart"/>
      <w:r>
        <w:rPr>
          <w:color w:val="434343" w:themeColor="text1"/>
        </w:rPr>
        <w:t>extiende</w:t>
      </w:r>
      <w:proofErr w:type="spellEnd"/>
      <w:r>
        <w:rPr>
          <w:color w:val="434343" w:themeColor="text1"/>
        </w:rPr>
        <w:t xml:space="preserve"> Joe Louis Greenway, un </w:t>
      </w:r>
      <w:proofErr w:type="spellStart"/>
      <w:r>
        <w:rPr>
          <w:color w:val="434343" w:themeColor="text1"/>
        </w:rPr>
        <w:t>tramo</w:t>
      </w:r>
      <w:proofErr w:type="spellEnd"/>
      <w:r>
        <w:rPr>
          <w:color w:val="434343" w:themeColor="text1"/>
        </w:rPr>
        <w:t xml:space="preserve"> de 27.5 </w:t>
      </w:r>
      <w:proofErr w:type="spellStart"/>
      <w:r>
        <w:rPr>
          <w:color w:val="434343" w:themeColor="text1"/>
        </w:rPr>
        <w:t>millas</w:t>
      </w:r>
      <w:proofErr w:type="spellEnd"/>
      <w:r>
        <w:rPr>
          <w:color w:val="434343" w:themeColor="text1"/>
        </w:rPr>
        <w:t xml:space="preserve"> que </w:t>
      </w:r>
      <w:proofErr w:type="spellStart"/>
      <w:r>
        <w:rPr>
          <w:color w:val="434343" w:themeColor="text1"/>
        </w:rPr>
        <w:t>conecta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centro</w:t>
      </w:r>
      <w:proofErr w:type="spellEnd"/>
      <w:r>
        <w:rPr>
          <w:color w:val="434343" w:themeColor="text1"/>
        </w:rPr>
        <w:t xml:space="preserve"> de Detroit con Dearborn, se </w:t>
      </w:r>
      <w:proofErr w:type="spellStart"/>
      <w:r>
        <w:rPr>
          <w:color w:val="434343" w:themeColor="text1"/>
        </w:rPr>
        <w:t>eligió</w:t>
      </w:r>
      <w:proofErr w:type="spellEnd"/>
      <w:r>
        <w:rPr>
          <w:color w:val="434343" w:themeColor="text1"/>
        </w:rPr>
        <w:t xml:space="preserve"> con la </w:t>
      </w:r>
      <w:proofErr w:type="spellStart"/>
      <w:r>
        <w:rPr>
          <w:color w:val="434343" w:themeColor="text1"/>
        </w:rPr>
        <w:t>intención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abarcar</w:t>
      </w:r>
      <w:proofErr w:type="spellEnd"/>
      <w:r>
        <w:rPr>
          <w:color w:val="434343" w:themeColor="text1"/>
        </w:rPr>
        <w:t xml:space="preserve"> las </w:t>
      </w:r>
      <w:proofErr w:type="spellStart"/>
      <w:r>
        <w:rPr>
          <w:color w:val="434343" w:themeColor="text1"/>
        </w:rPr>
        <w:t>fronteras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vecindarios</w:t>
      </w:r>
      <w:proofErr w:type="spellEnd"/>
      <w:r>
        <w:rPr>
          <w:color w:val="434343" w:themeColor="text1"/>
        </w:rPr>
        <w:t xml:space="preserve"> que antes </w:t>
      </w:r>
      <w:proofErr w:type="spellStart"/>
      <w:r>
        <w:rPr>
          <w:color w:val="434343" w:themeColor="text1"/>
        </w:rPr>
        <w:t>fueron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discriminados</w:t>
      </w:r>
      <w:proofErr w:type="spellEnd"/>
      <w:r>
        <w:rPr>
          <w:color w:val="434343" w:themeColor="text1"/>
        </w:rPr>
        <w:t xml:space="preserve"> con </w:t>
      </w:r>
      <w:proofErr w:type="spellStart"/>
      <w:r>
        <w:rPr>
          <w:color w:val="434343" w:themeColor="text1"/>
        </w:rPr>
        <w:t>prácticas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abusivas</w:t>
      </w:r>
      <w:proofErr w:type="spellEnd"/>
      <w:r>
        <w:rPr>
          <w:color w:val="434343" w:themeColor="text1"/>
        </w:rPr>
        <w:t xml:space="preserve">. La </w:t>
      </w:r>
      <w:proofErr w:type="spellStart"/>
      <w:r>
        <w:rPr>
          <w:color w:val="434343" w:themeColor="text1"/>
        </w:rPr>
        <w:t>amplia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participación</w:t>
      </w:r>
      <w:proofErr w:type="spellEnd"/>
      <w:r>
        <w:rPr>
          <w:color w:val="434343" w:themeColor="text1"/>
        </w:rPr>
        <w:t xml:space="preserve"> de la </w:t>
      </w:r>
      <w:proofErr w:type="spellStart"/>
      <w:r>
        <w:rPr>
          <w:color w:val="434343" w:themeColor="text1"/>
        </w:rPr>
        <w:t>comunidad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diseño</w:t>
      </w:r>
      <w:proofErr w:type="spellEnd"/>
      <w:r>
        <w:rPr>
          <w:color w:val="434343" w:themeColor="text1"/>
        </w:rPr>
        <w:t xml:space="preserve"> y la </w:t>
      </w:r>
      <w:proofErr w:type="spellStart"/>
      <w:r>
        <w:rPr>
          <w:color w:val="434343" w:themeColor="text1"/>
        </w:rPr>
        <w:t>ubicación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produjo</w:t>
      </w:r>
      <w:proofErr w:type="spellEnd"/>
      <w:r>
        <w:rPr>
          <w:color w:val="434343" w:themeColor="text1"/>
        </w:rPr>
        <w:t xml:space="preserve"> un "</w:t>
      </w:r>
      <w:proofErr w:type="spellStart"/>
      <w:r>
        <w:rPr>
          <w:color w:val="434343" w:themeColor="text1"/>
        </w:rPr>
        <w:t>espacio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verde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estratégico</w:t>
      </w:r>
      <w:proofErr w:type="spellEnd"/>
      <w:r>
        <w:rPr>
          <w:color w:val="434343" w:themeColor="text1"/>
        </w:rPr>
        <w:t>".</w:t>
      </w:r>
    </w:p>
    <w:p w14:paraId="36D2A2FC" w14:textId="77777777" w:rsidR="00002913" w:rsidRDefault="00002913" w:rsidP="00002913">
      <w:pPr>
        <w:jc w:val="center"/>
        <w:rPr>
          <w:rFonts w:eastAsiaTheme="minorEastAsia"/>
          <w:b/>
          <w:bCs/>
          <w:color w:val="434343" w:themeColor="text1"/>
        </w:rPr>
      </w:pPr>
      <w:r>
        <w:rPr>
          <w:noProof/>
        </w:rPr>
        <w:drawing>
          <wp:inline distT="0" distB="0" distL="0" distR="0" wp14:anchorId="4E0C1907" wp14:editId="6D9E78B8">
            <wp:extent cx="3781425" cy="2363391"/>
            <wp:effectExtent l="0" t="0" r="0" b="0"/>
            <wp:docPr id="1938011866" name="Picture 1938011866" descr="A group of people sitting at tab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011866" name="Picture 1938011866" descr="A group of people sitting at table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993" cy="236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36BA9" w14:textId="77777777" w:rsidR="00002913" w:rsidRDefault="00002913" w:rsidP="00002913">
      <w:pPr>
        <w:jc w:val="center"/>
        <w:rPr>
          <w:rFonts w:eastAsiaTheme="minorEastAsia"/>
          <w:b/>
          <w:bCs/>
          <w:color w:val="434343" w:themeColor="text1"/>
        </w:rPr>
      </w:pPr>
      <w:proofErr w:type="spellStart"/>
      <w:r>
        <w:rPr>
          <w:b/>
          <w:color w:val="434343" w:themeColor="text1"/>
        </w:rPr>
        <w:t>Planificación</w:t>
      </w:r>
      <w:proofErr w:type="spellEnd"/>
      <w:r>
        <w:rPr>
          <w:b/>
          <w:color w:val="434343" w:themeColor="text1"/>
        </w:rPr>
        <w:t xml:space="preserve"> </w:t>
      </w:r>
      <w:proofErr w:type="spellStart"/>
      <w:r>
        <w:rPr>
          <w:b/>
          <w:color w:val="434343" w:themeColor="text1"/>
        </w:rPr>
        <w:t>comunitaria</w:t>
      </w:r>
      <w:proofErr w:type="spellEnd"/>
      <w:r>
        <w:rPr>
          <w:b/>
          <w:color w:val="434343" w:themeColor="text1"/>
        </w:rPr>
        <w:t xml:space="preserve"> de Joe Louis Greenway </w:t>
      </w:r>
    </w:p>
    <w:p w14:paraId="690606E9" w14:textId="05EE4448" w:rsidR="00002913" w:rsidRDefault="00002913" w:rsidP="005749D6">
      <w:pPr>
        <w:pStyle w:val="ListParagraph"/>
        <w:numPr>
          <w:ilvl w:val="0"/>
          <w:numId w:val="2"/>
        </w:numPr>
        <w:rPr>
          <w:rFonts w:eastAsiaTheme="minorEastAsia"/>
          <w:b/>
          <w:bCs/>
          <w:color w:val="434343" w:themeColor="text1"/>
        </w:rPr>
      </w:pPr>
      <w:r>
        <w:rPr>
          <w:b/>
          <w:color w:val="0563C1"/>
          <w:u w:val="single"/>
        </w:rPr>
        <w:t>Franklin Park – Boston, Massachusetts</w:t>
      </w:r>
      <w:r>
        <w:rPr>
          <w:b/>
          <w:color w:val="434343" w:themeColor="text1"/>
        </w:rPr>
        <w:t xml:space="preserve">: </w:t>
      </w:r>
      <w:r>
        <w:rPr>
          <w:color w:val="434343" w:themeColor="text1"/>
        </w:rPr>
        <w:t xml:space="preserve">El Plan de </w:t>
      </w:r>
      <w:proofErr w:type="spellStart"/>
      <w:r>
        <w:rPr>
          <w:color w:val="434343" w:themeColor="text1"/>
        </w:rPr>
        <w:t>Acción</w:t>
      </w:r>
      <w:proofErr w:type="spellEnd"/>
      <w:r>
        <w:rPr>
          <w:color w:val="434343" w:themeColor="text1"/>
        </w:rPr>
        <w:t xml:space="preserve"> de Franklin Park, </w:t>
      </w:r>
      <w:proofErr w:type="spellStart"/>
      <w:r>
        <w:rPr>
          <w:color w:val="434343" w:themeColor="text1"/>
        </w:rPr>
        <w:t>encargado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por</w:t>
      </w:r>
      <w:proofErr w:type="spellEnd"/>
      <w:r>
        <w:rPr>
          <w:color w:val="434343" w:themeColor="text1"/>
        </w:rPr>
        <w:t xml:space="preserve"> la ciudad de Boston, </w:t>
      </w:r>
      <w:proofErr w:type="spellStart"/>
      <w:r>
        <w:rPr>
          <w:color w:val="434343" w:themeColor="text1"/>
        </w:rPr>
        <w:t>proporciona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una</w:t>
      </w:r>
      <w:proofErr w:type="spellEnd"/>
      <w:r>
        <w:rPr>
          <w:color w:val="434343" w:themeColor="text1"/>
        </w:rPr>
        <w:t xml:space="preserve"> hoja de </w:t>
      </w:r>
      <w:proofErr w:type="spellStart"/>
      <w:r>
        <w:rPr>
          <w:color w:val="434343" w:themeColor="text1"/>
        </w:rPr>
        <w:t>ruta</w:t>
      </w:r>
      <w:proofErr w:type="spellEnd"/>
      <w:r>
        <w:rPr>
          <w:color w:val="434343" w:themeColor="text1"/>
        </w:rPr>
        <w:t xml:space="preserve"> para la </w:t>
      </w:r>
      <w:proofErr w:type="spellStart"/>
      <w:r>
        <w:rPr>
          <w:color w:val="434343" w:themeColor="text1"/>
        </w:rPr>
        <w:t>reinversión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Franklin Park,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parque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más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grande</w:t>
      </w:r>
      <w:proofErr w:type="spellEnd"/>
      <w:r>
        <w:rPr>
          <w:color w:val="434343" w:themeColor="text1"/>
        </w:rPr>
        <w:t xml:space="preserve"> de Boston. Como </w:t>
      </w:r>
      <w:proofErr w:type="spellStart"/>
      <w:r>
        <w:rPr>
          <w:color w:val="434343" w:themeColor="text1"/>
        </w:rPr>
        <w:t>parte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esta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reinversión</w:t>
      </w:r>
      <w:proofErr w:type="spellEnd"/>
      <w:r>
        <w:rPr>
          <w:color w:val="434343" w:themeColor="text1"/>
        </w:rPr>
        <w:t xml:space="preserve">, se </w:t>
      </w:r>
      <w:proofErr w:type="spellStart"/>
      <w:r>
        <w:rPr>
          <w:color w:val="434343" w:themeColor="text1"/>
        </w:rPr>
        <w:t>emprendió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una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participación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comunitaria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amplia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reflexiva</w:t>
      </w:r>
      <w:proofErr w:type="spellEnd"/>
      <w:r>
        <w:rPr>
          <w:color w:val="434343" w:themeColor="text1"/>
        </w:rPr>
        <w:t xml:space="preserve"> para </w:t>
      </w:r>
      <w:proofErr w:type="spellStart"/>
      <w:r>
        <w:rPr>
          <w:color w:val="434343" w:themeColor="text1"/>
        </w:rPr>
        <w:t>limitar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desplazamiento</w:t>
      </w:r>
      <w:proofErr w:type="spellEnd"/>
      <w:r>
        <w:rPr>
          <w:color w:val="434343" w:themeColor="text1"/>
        </w:rPr>
        <w:t xml:space="preserve">. Se </w:t>
      </w:r>
      <w:proofErr w:type="spellStart"/>
      <w:r>
        <w:rPr>
          <w:color w:val="434343" w:themeColor="text1"/>
        </w:rPr>
        <w:t>identificaron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objetivos</w:t>
      </w:r>
      <w:proofErr w:type="spellEnd"/>
      <w:r>
        <w:rPr>
          <w:color w:val="434343" w:themeColor="text1"/>
        </w:rPr>
        <w:t xml:space="preserve"> claros contra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desplazamiento</w:t>
      </w:r>
      <w:proofErr w:type="spellEnd"/>
      <w:r>
        <w:rPr>
          <w:color w:val="434343" w:themeColor="text1"/>
        </w:rPr>
        <w:t xml:space="preserve"> y las </w:t>
      </w:r>
      <w:proofErr w:type="spellStart"/>
      <w:r>
        <w:rPr>
          <w:color w:val="434343" w:themeColor="text1"/>
        </w:rPr>
        <w:t>lecciones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aprendidas</w:t>
      </w:r>
      <w:proofErr w:type="spellEnd"/>
      <w:r>
        <w:rPr>
          <w:color w:val="434343" w:themeColor="text1"/>
        </w:rPr>
        <w:t xml:space="preserve"> de la </w:t>
      </w:r>
      <w:proofErr w:type="spellStart"/>
      <w:r>
        <w:rPr>
          <w:color w:val="434343" w:themeColor="text1"/>
        </w:rPr>
        <w:t>gentrificación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verde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otras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ciudades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como</w:t>
      </w:r>
      <w:proofErr w:type="spellEnd"/>
      <w:r>
        <w:rPr>
          <w:color w:val="434343" w:themeColor="text1"/>
        </w:rPr>
        <w:t xml:space="preserve"> St. Louis y Nueva Orleans, y se </w:t>
      </w:r>
      <w:proofErr w:type="spellStart"/>
      <w:r>
        <w:rPr>
          <w:color w:val="434343" w:themeColor="text1"/>
        </w:rPr>
        <w:t>consideraron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fundamentales</w:t>
      </w:r>
      <w:proofErr w:type="spellEnd"/>
      <w:r>
        <w:rPr>
          <w:color w:val="434343" w:themeColor="text1"/>
        </w:rPr>
        <w:t xml:space="preserve"> para </w:t>
      </w:r>
      <w:proofErr w:type="spellStart"/>
      <w:r>
        <w:rPr>
          <w:color w:val="434343" w:themeColor="text1"/>
        </w:rPr>
        <w:t>cualquier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esfuerzo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por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reinvertir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parque</w:t>
      </w:r>
      <w:proofErr w:type="spellEnd"/>
      <w:r>
        <w:rPr>
          <w:color w:val="434343" w:themeColor="text1"/>
        </w:rPr>
        <w:t xml:space="preserve">. </w:t>
      </w:r>
    </w:p>
    <w:p w14:paraId="274414A7" w14:textId="77777777" w:rsidR="00002913" w:rsidRDefault="00002913" w:rsidP="00002913">
      <w:pPr>
        <w:rPr>
          <w:rFonts w:eastAsiaTheme="minorEastAsia"/>
          <w:b/>
          <w:bCs/>
          <w:color w:val="434343" w:themeColor="text1"/>
        </w:rPr>
      </w:pPr>
    </w:p>
    <w:p w14:paraId="79D915BE" w14:textId="77777777" w:rsidR="00002913" w:rsidRDefault="00002913" w:rsidP="78D9981C">
      <w:pPr>
        <w:jc w:val="center"/>
        <w:rPr>
          <w:rFonts w:eastAsiaTheme="minorEastAsia"/>
          <w:color w:val="434343" w:themeColor="text1"/>
        </w:rPr>
      </w:pPr>
      <w:r>
        <w:rPr>
          <w:noProof/>
        </w:rPr>
        <w:lastRenderedPageBreak/>
        <w:drawing>
          <wp:inline distT="0" distB="0" distL="0" distR="0" wp14:anchorId="5EE43D58" wp14:editId="2D630C0F">
            <wp:extent cx="4114800" cy="2537460"/>
            <wp:effectExtent l="0" t="0" r="0" b="0"/>
            <wp:docPr id="783394836" name="Picture 783394836" descr="A group of people flying kites in a p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339483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53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41A61" w14:textId="77777777" w:rsidR="00002913" w:rsidRDefault="00002913" w:rsidP="00002913">
      <w:pPr>
        <w:jc w:val="center"/>
        <w:rPr>
          <w:rFonts w:eastAsiaTheme="minorEastAsia"/>
          <w:b/>
          <w:bCs/>
          <w:color w:val="434343" w:themeColor="text1"/>
        </w:rPr>
      </w:pPr>
      <w:r>
        <w:rPr>
          <w:b/>
          <w:color w:val="434343" w:themeColor="text1"/>
        </w:rPr>
        <w:t>Franklin Park, Boston</w:t>
      </w:r>
    </w:p>
    <w:p w14:paraId="3C14B48F" w14:textId="77777777" w:rsidR="00002913" w:rsidRDefault="00002913" w:rsidP="00002913">
      <w:pPr>
        <w:jc w:val="center"/>
        <w:rPr>
          <w:rFonts w:eastAsiaTheme="minorEastAsia"/>
          <w:color w:val="434343" w:themeColor="text1"/>
        </w:rPr>
      </w:pPr>
    </w:p>
    <w:p w14:paraId="015FAA12" w14:textId="711B40ED" w:rsidR="00002913" w:rsidRDefault="00002913" w:rsidP="005749D6">
      <w:pPr>
        <w:pStyle w:val="ListParagraph"/>
        <w:numPr>
          <w:ilvl w:val="0"/>
          <w:numId w:val="2"/>
        </w:numPr>
        <w:rPr>
          <w:rFonts w:eastAsiaTheme="minorEastAsia"/>
          <w:b/>
          <w:bCs/>
          <w:color w:val="434343" w:themeColor="text1"/>
        </w:rPr>
      </w:pPr>
      <w:r>
        <w:rPr>
          <w:b/>
          <w:color w:val="0563C1"/>
          <w:u w:val="single"/>
        </w:rPr>
        <w:t xml:space="preserve">Espacio Abierto Regional de Los Ángeles + </w:t>
      </w:r>
      <w:proofErr w:type="spellStart"/>
      <w:r>
        <w:rPr>
          <w:b/>
          <w:color w:val="0563C1"/>
          <w:u w:val="single"/>
        </w:rPr>
        <w:t>Colaboración</w:t>
      </w:r>
      <w:proofErr w:type="spellEnd"/>
      <w:r>
        <w:rPr>
          <w:b/>
          <w:color w:val="0563C1"/>
          <w:u w:val="single"/>
        </w:rPr>
        <w:t xml:space="preserve"> de Vivienda a </w:t>
      </w:r>
      <w:proofErr w:type="spellStart"/>
      <w:r>
        <w:rPr>
          <w:b/>
          <w:color w:val="0563C1"/>
          <w:u w:val="single"/>
        </w:rPr>
        <w:t>Precios</w:t>
      </w:r>
      <w:proofErr w:type="spellEnd"/>
      <w:r>
        <w:rPr>
          <w:b/>
          <w:color w:val="0563C1"/>
          <w:u w:val="single"/>
        </w:rPr>
        <w:t xml:space="preserve"> </w:t>
      </w:r>
      <w:proofErr w:type="spellStart"/>
      <w:r>
        <w:rPr>
          <w:b/>
          <w:color w:val="0563C1"/>
          <w:u w:val="single"/>
        </w:rPr>
        <w:t>Bajos</w:t>
      </w:r>
      <w:proofErr w:type="spellEnd"/>
      <w:r>
        <w:rPr>
          <w:b/>
          <w:color w:val="0563C1"/>
          <w:u w:val="single"/>
        </w:rPr>
        <w:t xml:space="preserve"> (LA ROSAH) – Los Ángeles, California</w:t>
      </w:r>
      <w:r>
        <w:rPr>
          <w:b/>
          <w:color w:val="434343" w:themeColor="text1"/>
        </w:rPr>
        <w:t xml:space="preserve">: </w:t>
      </w:r>
      <w:r>
        <w:rPr>
          <w:color w:val="434343" w:themeColor="text1"/>
        </w:rPr>
        <w:t xml:space="preserve">Esta </w:t>
      </w:r>
      <w:proofErr w:type="spellStart"/>
      <w:r>
        <w:rPr>
          <w:color w:val="434343" w:themeColor="text1"/>
        </w:rPr>
        <w:t>coalición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organizaciones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promotores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inmobiliarios</w:t>
      </w:r>
      <w:proofErr w:type="spellEnd"/>
      <w:r>
        <w:rPr>
          <w:color w:val="434343" w:themeColor="text1"/>
        </w:rPr>
        <w:t xml:space="preserve">, de </w:t>
      </w:r>
      <w:proofErr w:type="spellStart"/>
      <w:r>
        <w:rPr>
          <w:color w:val="434343" w:themeColor="text1"/>
        </w:rPr>
        <w:t>conservación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comunitarias</w:t>
      </w:r>
      <w:proofErr w:type="spellEnd"/>
      <w:r>
        <w:rPr>
          <w:color w:val="434343" w:themeColor="text1"/>
        </w:rPr>
        <w:t>/</w:t>
      </w:r>
      <w:proofErr w:type="spellStart"/>
      <w:r>
        <w:rPr>
          <w:color w:val="434343" w:themeColor="text1"/>
        </w:rPr>
        <w:t>vecinales</w:t>
      </w:r>
      <w:proofErr w:type="spellEnd"/>
      <w:r>
        <w:rPr>
          <w:color w:val="434343" w:themeColor="text1"/>
        </w:rPr>
        <w:t xml:space="preserve"> se </w:t>
      </w:r>
      <w:proofErr w:type="spellStart"/>
      <w:r>
        <w:rPr>
          <w:color w:val="434343" w:themeColor="text1"/>
        </w:rPr>
        <w:t>comprometió</w:t>
      </w:r>
      <w:proofErr w:type="spellEnd"/>
      <w:r>
        <w:rPr>
          <w:color w:val="434343" w:themeColor="text1"/>
        </w:rPr>
        <w:t xml:space="preserve"> a </w:t>
      </w:r>
      <w:proofErr w:type="spellStart"/>
      <w:r>
        <w:rPr>
          <w:color w:val="434343" w:themeColor="text1"/>
        </w:rPr>
        <w:t>promover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estrategias</w:t>
      </w:r>
      <w:proofErr w:type="spellEnd"/>
      <w:r>
        <w:rPr>
          <w:color w:val="434343" w:themeColor="text1"/>
        </w:rPr>
        <w:t xml:space="preserve"> que </w:t>
      </w:r>
      <w:proofErr w:type="spellStart"/>
      <w:r>
        <w:rPr>
          <w:color w:val="434343" w:themeColor="text1"/>
        </w:rPr>
        <w:t>eviten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desplazamiento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las </w:t>
      </w:r>
      <w:proofErr w:type="spellStart"/>
      <w:r>
        <w:rPr>
          <w:color w:val="434343" w:themeColor="text1"/>
        </w:rPr>
        <w:t>comunidades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producto</w:t>
      </w:r>
      <w:proofErr w:type="spellEnd"/>
      <w:r>
        <w:rPr>
          <w:color w:val="434343" w:themeColor="text1"/>
        </w:rPr>
        <w:t xml:space="preserve"> de la </w:t>
      </w:r>
      <w:proofErr w:type="spellStart"/>
      <w:r>
        <w:rPr>
          <w:color w:val="434343" w:themeColor="text1"/>
        </w:rPr>
        <w:t>gentrificación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verde</w:t>
      </w:r>
      <w:proofErr w:type="spellEnd"/>
      <w:r>
        <w:rPr>
          <w:color w:val="434343" w:themeColor="text1"/>
        </w:rPr>
        <w:t xml:space="preserve">. Este </w:t>
      </w:r>
      <w:proofErr w:type="spellStart"/>
      <w:r>
        <w:rPr>
          <w:color w:val="434343" w:themeColor="text1"/>
        </w:rPr>
        <w:t>tipo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coalición</w:t>
      </w:r>
      <w:proofErr w:type="spellEnd"/>
      <w:r>
        <w:rPr>
          <w:color w:val="434343" w:themeColor="text1"/>
        </w:rPr>
        <w:t xml:space="preserve"> se </w:t>
      </w:r>
      <w:proofErr w:type="spellStart"/>
      <w:r>
        <w:rPr>
          <w:color w:val="434343" w:themeColor="text1"/>
        </w:rPr>
        <w:t>puede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replicar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todo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país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puesto</w:t>
      </w:r>
      <w:proofErr w:type="spellEnd"/>
      <w:r>
        <w:rPr>
          <w:color w:val="434343" w:themeColor="text1"/>
        </w:rPr>
        <w:t xml:space="preserve"> que </w:t>
      </w:r>
      <w:proofErr w:type="spellStart"/>
      <w:r>
        <w:rPr>
          <w:color w:val="434343" w:themeColor="text1"/>
        </w:rPr>
        <w:t>sirve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como</w:t>
      </w:r>
      <w:proofErr w:type="spellEnd"/>
      <w:r>
        <w:rPr>
          <w:color w:val="434343" w:themeColor="text1"/>
        </w:rPr>
        <w:t xml:space="preserve"> un </w:t>
      </w:r>
      <w:proofErr w:type="spellStart"/>
      <w:r>
        <w:rPr>
          <w:color w:val="434343" w:themeColor="text1"/>
        </w:rPr>
        <w:t>espacio</w:t>
      </w:r>
      <w:proofErr w:type="spellEnd"/>
      <w:r>
        <w:rPr>
          <w:color w:val="434343" w:themeColor="text1"/>
        </w:rPr>
        <w:t xml:space="preserve"> para </w:t>
      </w:r>
      <w:proofErr w:type="spellStart"/>
      <w:r>
        <w:rPr>
          <w:color w:val="434343" w:themeColor="text1"/>
        </w:rPr>
        <w:t>entablar</w:t>
      </w:r>
      <w:proofErr w:type="spellEnd"/>
      <w:r>
        <w:rPr>
          <w:color w:val="434343" w:themeColor="text1"/>
        </w:rPr>
        <w:t xml:space="preserve"> redes de </w:t>
      </w:r>
      <w:proofErr w:type="spellStart"/>
      <w:r>
        <w:rPr>
          <w:color w:val="434343" w:themeColor="text1"/>
        </w:rPr>
        <w:t>contactos</w:t>
      </w:r>
      <w:proofErr w:type="spellEnd"/>
      <w:r>
        <w:rPr>
          <w:color w:val="434343" w:themeColor="text1"/>
        </w:rPr>
        <w:t xml:space="preserve">, un </w:t>
      </w:r>
      <w:proofErr w:type="spellStart"/>
      <w:r>
        <w:rPr>
          <w:color w:val="434343" w:themeColor="text1"/>
        </w:rPr>
        <w:t>laboratorio</w:t>
      </w:r>
      <w:proofErr w:type="spellEnd"/>
      <w:r>
        <w:rPr>
          <w:color w:val="434343" w:themeColor="text1"/>
        </w:rPr>
        <w:t xml:space="preserve"> de ideas y </w:t>
      </w:r>
      <w:proofErr w:type="spellStart"/>
      <w:r>
        <w:rPr>
          <w:color w:val="434343" w:themeColor="text1"/>
        </w:rPr>
        <w:t>una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fuente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convocación</w:t>
      </w:r>
      <w:proofErr w:type="spellEnd"/>
      <w:r>
        <w:rPr>
          <w:color w:val="434343" w:themeColor="text1"/>
        </w:rPr>
        <w:t xml:space="preserve">. </w:t>
      </w:r>
    </w:p>
    <w:p w14:paraId="1C8BCD74" w14:textId="3B83372A" w:rsidR="29DF0299" w:rsidRDefault="29DF0299" w:rsidP="7BC6DAD4">
      <w:pPr>
        <w:rPr>
          <w:rFonts w:ascii="Arial" w:eastAsia="Arial" w:hAnsi="Arial" w:cs="Arial"/>
          <w:b/>
          <w:bCs/>
          <w:color w:val="000000"/>
        </w:rPr>
      </w:pPr>
    </w:p>
    <w:p w14:paraId="2E6CAC8E" w14:textId="3007E696" w:rsidR="00197E0E" w:rsidRPr="00780ABD" w:rsidRDefault="45F128E1" w:rsidP="7BC6DAD4">
      <w:pPr>
        <w:rPr>
          <w:rFonts w:ascii="Arial" w:eastAsia="Arial" w:hAnsi="Arial" w:cs="Arial"/>
          <w:b/>
          <w:bCs/>
          <w:color w:val="237D12" w:themeColor="text2"/>
          <w:u w:val="single"/>
        </w:rPr>
      </w:pPr>
      <w:proofErr w:type="spellStart"/>
      <w:r>
        <w:rPr>
          <w:rFonts w:ascii="Arial" w:hAnsi="Arial"/>
          <w:b/>
          <w:color w:val="237D12" w:themeColor="text2"/>
          <w:u w:val="single"/>
        </w:rPr>
        <w:t>Recursos</w:t>
      </w:r>
      <w:proofErr w:type="spellEnd"/>
      <w:r>
        <w:rPr>
          <w:rFonts w:ascii="Arial" w:hAnsi="Arial"/>
          <w:b/>
          <w:color w:val="237D12" w:themeColor="text2"/>
          <w:u w:val="single"/>
        </w:rPr>
        <w:t xml:space="preserve"> </w:t>
      </w:r>
      <w:proofErr w:type="spellStart"/>
      <w:r>
        <w:rPr>
          <w:rFonts w:ascii="Arial" w:hAnsi="Arial"/>
          <w:b/>
          <w:color w:val="237D12" w:themeColor="text2"/>
          <w:u w:val="single"/>
        </w:rPr>
        <w:t>seleccionados</w:t>
      </w:r>
      <w:proofErr w:type="spellEnd"/>
    </w:p>
    <w:p w14:paraId="4ECE18E2" w14:textId="77777777" w:rsidR="00197E0E" w:rsidRPr="00197E0E" w:rsidRDefault="00197E0E" w:rsidP="29DF0299">
      <w:pPr>
        <w:rPr>
          <w:rFonts w:ascii="Calibri" w:eastAsia="Calibri" w:hAnsi="Calibri" w:cs="Calibri"/>
          <w:b/>
          <w:bCs/>
          <w:color w:val="237D12" w:themeColor="text2"/>
          <w:sz w:val="28"/>
          <w:szCs w:val="28"/>
        </w:rPr>
      </w:pPr>
    </w:p>
    <w:p w14:paraId="3CEC2F91" w14:textId="7A7C6B8E" w:rsidR="00197E0E" w:rsidRDefault="00197E0E" w:rsidP="005749D6">
      <w:pPr>
        <w:pStyle w:val="ListParagraph"/>
        <w:numPr>
          <w:ilvl w:val="0"/>
          <w:numId w:val="5"/>
        </w:numPr>
        <w:rPr>
          <w:rFonts w:eastAsiaTheme="minorEastAsia"/>
          <w:color w:val="434343" w:themeColor="text1"/>
        </w:rPr>
      </w:pPr>
      <w:r>
        <w:rPr>
          <w:color w:val="0563C1"/>
          <w:u w:val="single"/>
        </w:rPr>
        <w:t>Greening without Gentrification</w:t>
      </w:r>
      <w:r>
        <w:rPr>
          <w:color w:val="434343" w:themeColor="text1"/>
        </w:rPr>
        <w:t xml:space="preserve">: “Parks Related Anti-Displacement Strategies,” o PRADS, son 26 </w:t>
      </w:r>
      <w:proofErr w:type="spellStart"/>
      <w:r>
        <w:rPr>
          <w:color w:val="434343" w:themeColor="text1"/>
        </w:rPr>
        <w:t>actividades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distintas</w:t>
      </w:r>
      <w:proofErr w:type="spellEnd"/>
      <w:r>
        <w:rPr>
          <w:color w:val="434343" w:themeColor="text1"/>
        </w:rPr>
        <w:t xml:space="preserve"> que se </w:t>
      </w:r>
      <w:proofErr w:type="spellStart"/>
      <w:r>
        <w:rPr>
          <w:color w:val="434343" w:themeColor="text1"/>
        </w:rPr>
        <w:t>han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propuesto</w:t>
      </w:r>
      <w:proofErr w:type="spellEnd"/>
      <w:r>
        <w:rPr>
          <w:color w:val="434343" w:themeColor="text1"/>
        </w:rPr>
        <w:t xml:space="preserve"> o </w:t>
      </w:r>
      <w:proofErr w:type="spellStart"/>
      <w:r>
        <w:rPr>
          <w:color w:val="434343" w:themeColor="text1"/>
        </w:rPr>
        <w:t>implementado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13 </w:t>
      </w:r>
      <w:proofErr w:type="spellStart"/>
      <w:r>
        <w:rPr>
          <w:color w:val="434343" w:themeColor="text1"/>
        </w:rPr>
        <w:t>proyectos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12 </w:t>
      </w:r>
      <w:proofErr w:type="spellStart"/>
      <w:r>
        <w:rPr>
          <w:color w:val="434343" w:themeColor="text1"/>
        </w:rPr>
        <w:t>ciudades</w:t>
      </w:r>
      <w:proofErr w:type="spellEnd"/>
      <w:r>
        <w:rPr>
          <w:color w:val="434343" w:themeColor="text1"/>
        </w:rPr>
        <w:t xml:space="preserve">. </w:t>
      </w:r>
      <w:proofErr w:type="spellStart"/>
      <w:r>
        <w:rPr>
          <w:color w:val="434343" w:themeColor="text1"/>
        </w:rPr>
        <w:t>Fueron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desarrolladas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por</w:t>
      </w:r>
      <w:proofErr w:type="spellEnd"/>
      <w:r>
        <w:rPr>
          <w:color w:val="434343" w:themeColor="text1"/>
        </w:rPr>
        <w:t xml:space="preserve"> Alessandro </w:t>
      </w:r>
      <w:proofErr w:type="spellStart"/>
      <w:r>
        <w:rPr>
          <w:color w:val="434343" w:themeColor="text1"/>
        </w:rPr>
        <w:t>Rigolon</w:t>
      </w:r>
      <w:proofErr w:type="spellEnd"/>
      <w:r>
        <w:rPr>
          <w:color w:val="434343" w:themeColor="text1"/>
        </w:rPr>
        <w:t xml:space="preserve"> y Jon Christensen, Esta </w:t>
      </w:r>
      <w:proofErr w:type="spellStart"/>
      <w:r>
        <w:rPr>
          <w:color w:val="434343" w:themeColor="text1"/>
        </w:rPr>
        <w:t>amplia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gama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opciones</w:t>
      </w:r>
      <w:proofErr w:type="spellEnd"/>
      <w:r>
        <w:rPr>
          <w:color w:val="434343" w:themeColor="text1"/>
        </w:rPr>
        <w:t xml:space="preserve"> que </w:t>
      </w:r>
      <w:proofErr w:type="spellStart"/>
      <w:r>
        <w:rPr>
          <w:color w:val="434343" w:themeColor="text1"/>
        </w:rPr>
        <w:t>incorpora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desarrolladores</w:t>
      </w:r>
      <w:proofErr w:type="spellEnd"/>
      <w:r>
        <w:rPr>
          <w:color w:val="434343" w:themeColor="text1"/>
        </w:rPr>
        <w:t xml:space="preserve"> privados, </w:t>
      </w:r>
      <w:proofErr w:type="spellStart"/>
      <w:r>
        <w:rPr>
          <w:color w:val="434343" w:themeColor="text1"/>
        </w:rPr>
        <w:t>desarrolladores</w:t>
      </w:r>
      <w:proofErr w:type="spellEnd"/>
      <w:r>
        <w:rPr>
          <w:color w:val="434343" w:themeColor="text1"/>
        </w:rPr>
        <w:t xml:space="preserve"> sin fines de </w:t>
      </w:r>
      <w:proofErr w:type="spellStart"/>
      <w:r>
        <w:rPr>
          <w:color w:val="434343" w:themeColor="text1"/>
        </w:rPr>
        <w:t>lucro</w:t>
      </w:r>
      <w:proofErr w:type="spellEnd"/>
      <w:r>
        <w:rPr>
          <w:color w:val="434343" w:themeColor="text1"/>
        </w:rPr>
        <w:t xml:space="preserve">, </w:t>
      </w:r>
      <w:proofErr w:type="spellStart"/>
      <w:r>
        <w:rPr>
          <w:color w:val="434343" w:themeColor="text1"/>
        </w:rPr>
        <w:t>residentes</w:t>
      </w:r>
      <w:proofErr w:type="spellEnd"/>
      <w:r>
        <w:rPr>
          <w:color w:val="434343" w:themeColor="text1"/>
        </w:rPr>
        <w:t xml:space="preserve">, </w:t>
      </w:r>
      <w:proofErr w:type="spellStart"/>
      <w:r>
        <w:rPr>
          <w:color w:val="434343" w:themeColor="text1"/>
        </w:rPr>
        <w:t>localidades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otras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organizaciones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proporciona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una</w:t>
      </w:r>
      <w:proofErr w:type="spellEnd"/>
      <w:r>
        <w:rPr>
          <w:color w:val="434343" w:themeColor="text1"/>
        </w:rPr>
        <w:t xml:space="preserve"> gran </w:t>
      </w:r>
      <w:proofErr w:type="spellStart"/>
      <w:r>
        <w:rPr>
          <w:color w:val="434343" w:themeColor="text1"/>
        </w:rPr>
        <w:t>guía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acción</w:t>
      </w:r>
      <w:proofErr w:type="spellEnd"/>
      <w:r>
        <w:rPr>
          <w:color w:val="434343" w:themeColor="text1"/>
        </w:rPr>
        <w:t xml:space="preserve"> para </w:t>
      </w:r>
      <w:proofErr w:type="spellStart"/>
      <w:r>
        <w:rPr>
          <w:color w:val="434343" w:themeColor="text1"/>
        </w:rPr>
        <w:t>garantizar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acceso</w:t>
      </w:r>
      <w:proofErr w:type="spellEnd"/>
      <w:r>
        <w:rPr>
          <w:color w:val="434343" w:themeColor="text1"/>
        </w:rPr>
        <w:t xml:space="preserve"> a </w:t>
      </w:r>
      <w:proofErr w:type="spellStart"/>
      <w:r>
        <w:rPr>
          <w:color w:val="434343" w:themeColor="text1"/>
        </w:rPr>
        <w:t>los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espacios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verdes</w:t>
      </w:r>
      <w:proofErr w:type="spellEnd"/>
      <w:r>
        <w:rPr>
          <w:color w:val="434343" w:themeColor="text1"/>
        </w:rPr>
        <w:t xml:space="preserve"> para </w:t>
      </w:r>
      <w:proofErr w:type="spellStart"/>
      <w:r>
        <w:rPr>
          <w:color w:val="434343" w:themeColor="text1"/>
        </w:rPr>
        <w:t>todos</w:t>
      </w:r>
      <w:proofErr w:type="spellEnd"/>
      <w:r>
        <w:rPr>
          <w:color w:val="434343" w:themeColor="text1"/>
        </w:rPr>
        <w:t>.</w:t>
      </w:r>
    </w:p>
    <w:p w14:paraId="4BE9960E" w14:textId="5AF82B8B" w:rsidR="00197E0E" w:rsidRDefault="00197E0E" w:rsidP="005749D6">
      <w:pPr>
        <w:pStyle w:val="ListParagraph"/>
        <w:numPr>
          <w:ilvl w:val="0"/>
          <w:numId w:val="4"/>
        </w:numPr>
        <w:rPr>
          <w:rFonts w:eastAsiaTheme="minorEastAsia"/>
          <w:color w:val="434343" w:themeColor="text1"/>
        </w:rPr>
      </w:pPr>
      <w:r>
        <w:rPr>
          <w:color w:val="0563C1"/>
          <w:u w:val="single"/>
        </w:rPr>
        <w:t xml:space="preserve">Conjunto de </w:t>
      </w:r>
      <w:proofErr w:type="spellStart"/>
      <w:r>
        <w:rPr>
          <w:color w:val="0563C1"/>
          <w:u w:val="single"/>
        </w:rPr>
        <w:t>herramientas</w:t>
      </w:r>
      <w:proofErr w:type="spellEnd"/>
      <w:r>
        <w:rPr>
          <w:color w:val="0563C1"/>
          <w:u w:val="single"/>
        </w:rPr>
        <w:t xml:space="preserve"> de </w:t>
      </w:r>
      <w:proofErr w:type="spellStart"/>
      <w:r>
        <w:rPr>
          <w:color w:val="0563C1"/>
          <w:u w:val="single"/>
        </w:rPr>
        <w:t>políticas</w:t>
      </w:r>
      <w:proofErr w:type="spellEnd"/>
      <w:r>
        <w:rPr>
          <w:color w:val="0563C1"/>
          <w:u w:val="single"/>
        </w:rPr>
        <w:t xml:space="preserve"> y </w:t>
      </w:r>
      <w:proofErr w:type="spellStart"/>
      <w:r>
        <w:rPr>
          <w:color w:val="0563C1"/>
          <w:u w:val="single"/>
        </w:rPr>
        <w:t>planificación</w:t>
      </w:r>
      <w:proofErr w:type="spellEnd"/>
      <w:r>
        <w:rPr>
          <w:color w:val="0563C1"/>
          <w:u w:val="single"/>
        </w:rPr>
        <w:t xml:space="preserve"> para la </w:t>
      </w:r>
      <w:proofErr w:type="spellStart"/>
      <w:r>
        <w:rPr>
          <w:color w:val="0563C1"/>
          <w:u w:val="single"/>
        </w:rPr>
        <w:t>justicia</w:t>
      </w:r>
      <w:proofErr w:type="spellEnd"/>
      <w:r>
        <w:rPr>
          <w:color w:val="0563C1"/>
          <w:u w:val="single"/>
        </w:rPr>
        <w:t xml:space="preserve"> </w:t>
      </w:r>
      <w:proofErr w:type="spellStart"/>
      <w:r>
        <w:rPr>
          <w:color w:val="0563C1"/>
          <w:u w:val="single"/>
        </w:rPr>
        <w:t>verde</w:t>
      </w:r>
      <w:proofErr w:type="spellEnd"/>
      <w:r>
        <w:rPr>
          <w:color w:val="0563C1"/>
          <w:u w:val="single"/>
        </w:rPr>
        <w:t xml:space="preserve"> </w:t>
      </w:r>
      <w:proofErr w:type="spellStart"/>
      <w:r>
        <w:rPr>
          <w:color w:val="0563C1"/>
          <w:u w:val="single"/>
        </w:rPr>
        <w:t>urbana</w:t>
      </w:r>
      <w:proofErr w:type="spellEnd"/>
      <w:r>
        <w:rPr>
          <w:color w:val="434343" w:themeColor="text1"/>
        </w:rPr>
        <w:t xml:space="preserve">: Este </w:t>
      </w:r>
      <w:proofErr w:type="spellStart"/>
      <w:r>
        <w:rPr>
          <w:color w:val="434343" w:themeColor="text1"/>
        </w:rPr>
        <w:t>informe</w:t>
      </w:r>
      <w:proofErr w:type="spellEnd"/>
      <w:r>
        <w:rPr>
          <w:color w:val="434343" w:themeColor="text1"/>
        </w:rPr>
        <w:t xml:space="preserve"> de Barcelona Laboratory for Urban Environmental Justice and Sustainability </w:t>
      </w:r>
      <w:proofErr w:type="spellStart"/>
      <w:r>
        <w:rPr>
          <w:color w:val="434343" w:themeColor="text1"/>
        </w:rPr>
        <w:t>proporciona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descripciones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análisis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más</w:t>
      </w:r>
      <w:proofErr w:type="spellEnd"/>
      <w:r>
        <w:rPr>
          <w:color w:val="434343" w:themeColor="text1"/>
        </w:rPr>
        <w:t xml:space="preserve"> de 50 </w:t>
      </w:r>
      <w:proofErr w:type="spellStart"/>
      <w:r>
        <w:rPr>
          <w:color w:val="434343" w:themeColor="text1"/>
        </w:rPr>
        <w:t>herramientas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políticas</w:t>
      </w:r>
      <w:proofErr w:type="spellEnd"/>
      <w:r>
        <w:rPr>
          <w:color w:val="434343" w:themeColor="text1"/>
        </w:rPr>
        <w:t xml:space="preserve"> para </w:t>
      </w:r>
      <w:proofErr w:type="spellStart"/>
      <w:r>
        <w:rPr>
          <w:color w:val="434343" w:themeColor="text1"/>
        </w:rPr>
        <w:t>apoyar</w:t>
      </w:r>
      <w:proofErr w:type="spellEnd"/>
      <w:r>
        <w:rPr>
          <w:color w:val="434343" w:themeColor="text1"/>
        </w:rPr>
        <w:t xml:space="preserve"> tanto la </w:t>
      </w:r>
      <w:proofErr w:type="spellStart"/>
      <w:r>
        <w:rPr>
          <w:color w:val="434343" w:themeColor="text1"/>
        </w:rPr>
        <w:t>equidad</w:t>
      </w:r>
      <w:proofErr w:type="spellEnd"/>
      <w:r>
        <w:rPr>
          <w:color w:val="434343" w:themeColor="text1"/>
        </w:rPr>
        <w:t xml:space="preserve"> de la </w:t>
      </w:r>
      <w:proofErr w:type="spellStart"/>
      <w:r>
        <w:rPr>
          <w:color w:val="434343" w:themeColor="text1"/>
        </w:rPr>
        <w:t>vivienda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como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desarrollo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verde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inclusivo</w:t>
      </w:r>
      <w:proofErr w:type="spellEnd"/>
      <w:r>
        <w:rPr>
          <w:color w:val="434343" w:themeColor="text1"/>
        </w:rPr>
        <w:t xml:space="preserve">. También se </w:t>
      </w:r>
      <w:proofErr w:type="spellStart"/>
      <w:r>
        <w:rPr>
          <w:color w:val="434343" w:themeColor="text1"/>
        </w:rPr>
        <w:t>evalúa</w:t>
      </w:r>
      <w:proofErr w:type="spellEnd"/>
      <w:r>
        <w:rPr>
          <w:color w:val="434343" w:themeColor="text1"/>
        </w:rPr>
        <w:t xml:space="preserve"> las </w:t>
      </w:r>
      <w:proofErr w:type="spellStart"/>
      <w:r>
        <w:rPr>
          <w:color w:val="434343" w:themeColor="text1"/>
        </w:rPr>
        <w:t>herramientas</w:t>
      </w:r>
      <w:proofErr w:type="spellEnd"/>
      <w:r>
        <w:rPr>
          <w:color w:val="434343" w:themeColor="text1"/>
        </w:rPr>
        <w:t xml:space="preserve"> que </w:t>
      </w:r>
      <w:proofErr w:type="spellStart"/>
      <w:r>
        <w:rPr>
          <w:color w:val="434343" w:themeColor="text1"/>
        </w:rPr>
        <w:t>emplean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actualmente</w:t>
      </w:r>
      <w:proofErr w:type="spellEnd"/>
      <w:r>
        <w:rPr>
          <w:color w:val="434343" w:themeColor="text1"/>
        </w:rPr>
        <w:t xml:space="preserve"> las </w:t>
      </w:r>
      <w:proofErr w:type="spellStart"/>
      <w:r>
        <w:rPr>
          <w:color w:val="434343" w:themeColor="text1"/>
        </w:rPr>
        <w:t>localidades</w:t>
      </w:r>
      <w:proofErr w:type="spellEnd"/>
      <w:r>
        <w:rPr>
          <w:color w:val="434343" w:themeColor="text1"/>
        </w:rPr>
        <w:t xml:space="preserve"> para </w:t>
      </w:r>
      <w:proofErr w:type="spellStart"/>
      <w:r>
        <w:rPr>
          <w:color w:val="434343" w:themeColor="text1"/>
        </w:rPr>
        <w:t>prevenir</w:t>
      </w:r>
      <w:proofErr w:type="spellEnd"/>
      <w:r>
        <w:rPr>
          <w:color w:val="434343" w:themeColor="text1"/>
        </w:rPr>
        <w:t xml:space="preserve"> la </w:t>
      </w:r>
      <w:proofErr w:type="spellStart"/>
      <w:r>
        <w:rPr>
          <w:color w:val="434343" w:themeColor="text1"/>
        </w:rPr>
        <w:t>gentrificación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desplazamiento</w:t>
      </w:r>
      <w:proofErr w:type="spellEnd"/>
      <w:r>
        <w:rPr>
          <w:color w:val="434343" w:themeColor="text1"/>
        </w:rPr>
        <w:t xml:space="preserve">, e </w:t>
      </w:r>
      <w:proofErr w:type="spellStart"/>
      <w:r>
        <w:rPr>
          <w:color w:val="434343" w:themeColor="text1"/>
        </w:rPr>
        <w:lastRenderedPageBreak/>
        <w:t>incluso</w:t>
      </w:r>
      <w:proofErr w:type="spellEnd"/>
      <w:r>
        <w:rPr>
          <w:color w:val="434343" w:themeColor="text1"/>
        </w:rPr>
        <w:t xml:space="preserve"> un </w:t>
      </w:r>
      <w:proofErr w:type="spellStart"/>
      <w:r>
        <w:rPr>
          <w:color w:val="434343" w:themeColor="text1"/>
        </w:rPr>
        <w:t>análisis</w:t>
      </w:r>
      <w:proofErr w:type="spellEnd"/>
      <w:r>
        <w:rPr>
          <w:color w:val="434343" w:themeColor="text1"/>
        </w:rPr>
        <w:t xml:space="preserve"> de la </w:t>
      </w:r>
      <w:proofErr w:type="spellStart"/>
      <w:r>
        <w:rPr>
          <w:color w:val="434343" w:themeColor="text1"/>
        </w:rPr>
        <w:t>implementación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algunas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estas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estrategias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contextos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ciudades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norteamericanas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europeas</w:t>
      </w:r>
      <w:proofErr w:type="spellEnd"/>
      <w:r>
        <w:rPr>
          <w:color w:val="434343" w:themeColor="text1"/>
        </w:rPr>
        <w:t xml:space="preserve">. </w:t>
      </w:r>
    </w:p>
    <w:p w14:paraId="5B2E82C2" w14:textId="32E1C9F6" w:rsidR="00197E0E" w:rsidRDefault="00197E0E" w:rsidP="005749D6">
      <w:pPr>
        <w:pStyle w:val="ListParagraph"/>
        <w:numPr>
          <w:ilvl w:val="0"/>
          <w:numId w:val="3"/>
        </w:numPr>
        <w:rPr>
          <w:rFonts w:eastAsiaTheme="minorEastAsia"/>
          <w:color w:val="434343" w:themeColor="text1"/>
        </w:rPr>
      </w:pPr>
      <w:r>
        <w:rPr>
          <w:color w:val="0563C1"/>
          <w:u w:val="single"/>
        </w:rPr>
        <w:t>Sharing the Benefits of a Greening City</w:t>
      </w:r>
      <w:r>
        <w:rPr>
          <w:color w:val="434343" w:themeColor="text1"/>
        </w:rPr>
        <w:t xml:space="preserve">: La </w:t>
      </w:r>
      <w:proofErr w:type="spellStart"/>
      <w:r>
        <w:rPr>
          <w:color w:val="434343" w:themeColor="text1"/>
        </w:rPr>
        <w:t>Iniciativa</w:t>
      </w:r>
      <w:proofErr w:type="spellEnd"/>
      <w:r>
        <w:rPr>
          <w:color w:val="434343" w:themeColor="text1"/>
        </w:rPr>
        <w:t xml:space="preserve"> CREATE de la Universidad de Minnesota </w:t>
      </w:r>
      <w:proofErr w:type="spellStart"/>
      <w:r>
        <w:rPr>
          <w:color w:val="434343" w:themeColor="text1"/>
        </w:rPr>
        <w:t>creó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este</w:t>
      </w:r>
      <w:proofErr w:type="spellEnd"/>
      <w:r>
        <w:rPr>
          <w:color w:val="434343" w:themeColor="text1"/>
        </w:rPr>
        <w:t xml:space="preserve"> conjunto de </w:t>
      </w:r>
      <w:proofErr w:type="spellStart"/>
      <w:r>
        <w:rPr>
          <w:color w:val="434343" w:themeColor="text1"/>
        </w:rPr>
        <w:t>herramientas</w:t>
      </w:r>
      <w:proofErr w:type="spellEnd"/>
      <w:r>
        <w:rPr>
          <w:color w:val="434343" w:themeColor="text1"/>
        </w:rPr>
        <w:t xml:space="preserve"> para </w:t>
      </w:r>
      <w:proofErr w:type="spellStart"/>
      <w:r>
        <w:rPr>
          <w:color w:val="434343" w:themeColor="text1"/>
        </w:rPr>
        <w:t>ayudar</w:t>
      </w:r>
      <w:proofErr w:type="spellEnd"/>
      <w:r>
        <w:rPr>
          <w:color w:val="434343" w:themeColor="text1"/>
        </w:rPr>
        <w:t xml:space="preserve"> a las personas, las </w:t>
      </w:r>
      <w:proofErr w:type="spellStart"/>
      <w:r>
        <w:rPr>
          <w:color w:val="434343" w:themeColor="text1"/>
        </w:rPr>
        <w:t>organizaciones</w:t>
      </w:r>
      <w:proofErr w:type="spellEnd"/>
      <w:r>
        <w:rPr>
          <w:color w:val="434343" w:themeColor="text1"/>
        </w:rPr>
        <w:t xml:space="preserve"> y las </w:t>
      </w:r>
      <w:proofErr w:type="spellStart"/>
      <w:r>
        <w:rPr>
          <w:color w:val="434343" w:themeColor="text1"/>
        </w:rPr>
        <w:t>localidades</w:t>
      </w:r>
      <w:proofErr w:type="spellEnd"/>
      <w:r>
        <w:rPr>
          <w:color w:val="434343" w:themeColor="text1"/>
        </w:rPr>
        <w:t xml:space="preserve"> </w:t>
      </w:r>
      <w:proofErr w:type="gramStart"/>
      <w:r>
        <w:rPr>
          <w:color w:val="434343" w:themeColor="text1"/>
        </w:rPr>
        <w:t>a</w:t>
      </w:r>
      <w:proofErr w:type="gram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evaluar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los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riesgos</w:t>
      </w:r>
      <w:proofErr w:type="spellEnd"/>
      <w:r>
        <w:rPr>
          <w:color w:val="434343" w:themeColor="text1"/>
        </w:rPr>
        <w:t xml:space="preserve"> de la </w:t>
      </w:r>
      <w:proofErr w:type="spellStart"/>
      <w:r>
        <w:rPr>
          <w:color w:val="434343" w:themeColor="text1"/>
        </w:rPr>
        <w:t>gentrificación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abogar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por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desarrollo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equitativo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espacios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verdes</w:t>
      </w:r>
      <w:proofErr w:type="spellEnd"/>
      <w:r>
        <w:rPr>
          <w:color w:val="434343" w:themeColor="text1"/>
        </w:rPr>
        <w:t xml:space="preserve">. También se </w:t>
      </w:r>
      <w:proofErr w:type="spellStart"/>
      <w:r>
        <w:rPr>
          <w:color w:val="434343" w:themeColor="text1"/>
        </w:rPr>
        <w:t>incluye</w:t>
      </w:r>
      <w:proofErr w:type="spellEnd"/>
      <w:r>
        <w:rPr>
          <w:color w:val="434343" w:themeColor="text1"/>
        </w:rPr>
        <w:t xml:space="preserve"> un conjunto de </w:t>
      </w:r>
      <w:proofErr w:type="spellStart"/>
      <w:r>
        <w:rPr>
          <w:color w:val="434343" w:themeColor="text1"/>
        </w:rPr>
        <w:t>herramientas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tres</w:t>
      </w:r>
      <w:proofErr w:type="spellEnd"/>
      <w:r>
        <w:rPr>
          <w:color w:val="434343" w:themeColor="text1"/>
        </w:rPr>
        <w:t xml:space="preserve"> partes que </w:t>
      </w:r>
      <w:proofErr w:type="spellStart"/>
      <w:r>
        <w:rPr>
          <w:color w:val="434343" w:themeColor="text1"/>
        </w:rPr>
        <w:t>presenta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conceptos</w:t>
      </w:r>
      <w:proofErr w:type="spellEnd"/>
      <w:r>
        <w:rPr>
          <w:color w:val="434343" w:themeColor="text1"/>
        </w:rPr>
        <w:t xml:space="preserve"> clave </w:t>
      </w:r>
      <w:proofErr w:type="spellStart"/>
      <w:r>
        <w:rPr>
          <w:color w:val="434343" w:themeColor="text1"/>
        </w:rPr>
        <w:t>relacionados</w:t>
      </w:r>
      <w:proofErr w:type="spellEnd"/>
      <w:r>
        <w:rPr>
          <w:color w:val="434343" w:themeColor="text1"/>
        </w:rPr>
        <w:t xml:space="preserve"> con la </w:t>
      </w:r>
      <w:proofErr w:type="spellStart"/>
      <w:r>
        <w:rPr>
          <w:color w:val="434343" w:themeColor="text1"/>
        </w:rPr>
        <w:t>gentrificación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verde</w:t>
      </w:r>
      <w:proofErr w:type="spellEnd"/>
      <w:r>
        <w:rPr>
          <w:color w:val="434343" w:themeColor="text1"/>
        </w:rPr>
        <w:t xml:space="preserve">, describe </w:t>
      </w:r>
      <w:proofErr w:type="spellStart"/>
      <w:r>
        <w:rPr>
          <w:color w:val="434343" w:themeColor="text1"/>
        </w:rPr>
        <w:t>estrategias</w:t>
      </w:r>
      <w:proofErr w:type="spellEnd"/>
      <w:r>
        <w:rPr>
          <w:color w:val="434343" w:themeColor="text1"/>
        </w:rPr>
        <w:t xml:space="preserve"> contra </w:t>
      </w:r>
      <w:proofErr w:type="spellStart"/>
      <w:r>
        <w:rPr>
          <w:color w:val="434343" w:themeColor="text1"/>
        </w:rPr>
        <w:t>el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desplazamiento</w:t>
      </w:r>
      <w:proofErr w:type="spellEnd"/>
      <w:r>
        <w:rPr>
          <w:color w:val="434343" w:themeColor="text1"/>
        </w:rPr>
        <w:t xml:space="preserve"> y </w:t>
      </w:r>
      <w:proofErr w:type="spellStart"/>
      <w:r>
        <w:rPr>
          <w:color w:val="434343" w:themeColor="text1"/>
        </w:rPr>
        <w:t>proporciona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información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sobre</w:t>
      </w:r>
      <w:proofErr w:type="spellEnd"/>
      <w:r>
        <w:rPr>
          <w:color w:val="434343" w:themeColor="text1"/>
        </w:rPr>
        <w:t xml:space="preserve"> la </w:t>
      </w:r>
      <w:proofErr w:type="spellStart"/>
      <w:r>
        <w:rPr>
          <w:color w:val="434343" w:themeColor="text1"/>
        </w:rPr>
        <w:t>implementación</w:t>
      </w:r>
      <w:proofErr w:type="spellEnd"/>
      <w:r>
        <w:rPr>
          <w:color w:val="434343" w:themeColor="text1"/>
        </w:rPr>
        <w:t xml:space="preserve"> de </w:t>
      </w:r>
      <w:proofErr w:type="spellStart"/>
      <w:r>
        <w:rPr>
          <w:color w:val="434343" w:themeColor="text1"/>
        </w:rPr>
        <w:t>estas</w:t>
      </w:r>
      <w:proofErr w:type="spellEnd"/>
      <w:r>
        <w:rPr>
          <w:color w:val="434343" w:themeColor="text1"/>
        </w:rPr>
        <w:t xml:space="preserve"> </w:t>
      </w:r>
      <w:proofErr w:type="spellStart"/>
      <w:r>
        <w:rPr>
          <w:color w:val="434343" w:themeColor="text1"/>
        </w:rPr>
        <w:t>estrategias</w:t>
      </w:r>
      <w:proofErr w:type="spellEnd"/>
      <w:r>
        <w:rPr>
          <w:color w:val="434343" w:themeColor="text1"/>
        </w:rPr>
        <w:t>.</w:t>
      </w:r>
    </w:p>
    <w:p w14:paraId="28BE4402" w14:textId="4130E504" w:rsidR="00B73FA9" w:rsidRPr="00B73FA9" w:rsidRDefault="00B73FA9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5F247E17" w14:textId="77777777" w:rsidR="00780ABD" w:rsidRDefault="00780ABD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0558F2C9" w14:textId="77777777" w:rsidR="00780ABD" w:rsidRDefault="00780ABD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3DBF43D0" w14:textId="77777777" w:rsidR="00780ABD" w:rsidRDefault="00780ABD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2EF6730A" w14:textId="77777777" w:rsidR="00780ABD" w:rsidRDefault="00780ABD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2F8B1849" w14:textId="77777777" w:rsidR="00780ABD" w:rsidRDefault="00780ABD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66D41EA9" w14:textId="77777777" w:rsidR="00780ABD" w:rsidRDefault="00780ABD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60B77864" w14:textId="77777777" w:rsidR="00780ABD" w:rsidRDefault="00780ABD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04119CD8" w14:textId="77777777" w:rsidR="00780ABD" w:rsidRDefault="00780ABD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4326A6CA" w14:textId="77777777" w:rsidR="00780ABD" w:rsidRDefault="00780ABD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7D87A6A2" w14:textId="77777777" w:rsidR="00780ABD" w:rsidRDefault="00780ABD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0DB79CE8" w14:textId="77777777" w:rsidR="00780ABD" w:rsidRDefault="00780ABD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12A939A4" w14:textId="77777777" w:rsidR="00780ABD" w:rsidRDefault="00780ABD" w:rsidP="7BC6DA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Arial" w:hAnsi="Arial" w:cs="Arial"/>
          <w:b/>
          <w:bCs/>
          <w:color w:val="237D12" w:themeColor="text2"/>
          <w:sz w:val="22"/>
          <w:szCs w:val="22"/>
        </w:rPr>
      </w:pPr>
    </w:p>
    <w:p w14:paraId="16246D78" w14:textId="65268AD7" w:rsidR="00B73FA9" w:rsidRPr="00780ABD" w:rsidRDefault="0042407C" w:rsidP="7BC6DAD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237D12" w:themeColor="text2"/>
          <w:sz w:val="28"/>
          <w:szCs w:val="28"/>
          <w:u w:val="single"/>
        </w:rPr>
      </w:pPr>
      <w:proofErr w:type="spellStart"/>
      <w:r>
        <w:rPr>
          <w:rStyle w:val="normaltextrun"/>
          <w:rFonts w:ascii="Arial" w:hAnsi="Arial"/>
          <w:b/>
          <w:color w:val="237D12" w:themeColor="text2"/>
          <w:sz w:val="22"/>
          <w:u w:val="single"/>
        </w:rPr>
        <w:t>Referencias</w:t>
      </w:r>
      <w:proofErr w:type="spellEnd"/>
      <w:r>
        <w:rPr>
          <w:rStyle w:val="eop"/>
          <w:rFonts w:ascii="Calibri" w:hAnsi="Calibri"/>
          <w:color w:val="237D12" w:themeColor="text2"/>
          <w:sz w:val="28"/>
          <w:u w:val="single"/>
        </w:rPr>
        <w:t> </w:t>
      </w:r>
    </w:p>
    <w:p w14:paraId="2F5C6D18" w14:textId="550E4BFF" w:rsidR="00B73FA9" w:rsidRDefault="00B73FA9" w:rsidP="7BC6DAD4">
      <w:pPr>
        <w:ind w:left="-20" w:right="-20"/>
        <w:rPr>
          <w:rFonts w:ascii="Calibri" w:eastAsia="Calibri" w:hAnsi="Calibri" w:cs="Calibri"/>
          <w:i/>
          <w:iCs/>
          <w:color w:val="434343" w:themeColor="text1"/>
        </w:rPr>
      </w:pPr>
    </w:p>
    <w:p w14:paraId="67D5C561" w14:textId="451AD396" w:rsidR="00B73FA9" w:rsidRDefault="00B73FA9" w:rsidP="78D9981C">
      <w:pPr>
        <w:ind w:left="-20" w:right="-20"/>
        <w:rPr>
          <w:rFonts w:eastAsiaTheme="minorEastAsia"/>
          <w:i/>
          <w:iCs/>
          <w:color w:val="434343" w:themeColor="text1"/>
        </w:rPr>
      </w:pPr>
      <w:r>
        <w:rPr>
          <w:i/>
          <w:color w:val="434343" w:themeColor="text1"/>
        </w:rPr>
        <w:t>Franklin Park Action Plan</w:t>
      </w:r>
      <w:r>
        <w:rPr>
          <w:color w:val="434343" w:themeColor="text1"/>
        </w:rPr>
        <w:t xml:space="preserve">. (13 de </w:t>
      </w:r>
      <w:proofErr w:type="spellStart"/>
      <w:r>
        <w:rPr>
          <w:color w:val="434343" w:themeColor="text1"/>
        </w:rPr>
        <w:t>julio</w:t>
      </w:r>
      <w:proofErr w:type="spellEnd"/>
      <w:r>
        <w:rPr>
          <w:color w:val="434343" w:themeColor="text1"/>
        </w:rPr>
        <w:t xml:space="preserve"> de 2022). Plan de </w:t>
      </w:r>
      <w:proofErr w:type="spellStart"/>
      <w:r>
        <w:rPr>
          <w:color w:val="434343" w:themeColor="text1"/>
        </w:rPr>
        <w:t>acción</w:t>
      </w:r>
      <w:proofErr w:type="spellEnd"/>
      <w:r>
        <w:rPr>
          <w:color w:val="434343" w:themeColor="text1"/>
        </w:rPr>
        <w:t xml:space="preserve"> de Franklin Park.</w:t>
      </w:r>
      <w:r>
        <w:rPr>
          <w:rStyle w:val="tw4winExternal"/>
        </w:rPr>
        <w:t xml:space="preserve"> </w:t>
      </w:r>
      <w:r w:rsidRPr="00F3322A">
        <w:rPr>
          <w:rStyle w:val="Hyperlink"/>
          <w:rFonts w:eastAsiaTheme="minorEastAsia"/>
          <w:kern w:val="0"/>
          <w14:ligatures w14:val="none"/>
        </w:rPr>
        <w:t xml:space="preserve">https://franklinparkactionplan.com </w:t>
      </w:r>
    </w:p>
    <w:p w14:paraId="4D4612F9" w14:textId="580B5E87" w:rsidR="00B73FA9" w:rsidRDefault="00B73FA9" w:rsidP="78D9981C">
      <w:pPr>
        <w:ind w:left="-20" w:right="-20"/>
        <w:rPr>
          <w:rFonts w:eastAsiaTheme="minorEastAsia"/>
          <w:i/>
          <w:iCs/>
          <w:color w:val="434343" w:themeColor="text1"/>
        </w:rPr>
      </w:pPr>
    </w:p>
    <w:p w14:paraId="03C2564D" w14:textId="2FCDF99E" w:rsidR="00B73FA9" w:rsidRDefault="00B73FA9" w:rsidP="78D9981C">
      <w:pPr>
        <w:ind w:left="-20" w:right="-20"/>
        <w:rPr>
          <w:rFonts w:eastAsiaTheme="minorEastAsia"/>
          <w:i/>
          <w:iCs/>
          <w:color w:val="434343" w:themeColor="text1"/>
        </w:rPr>
      </w:pPr>
      <w:r>
        <w:rPr>
          <w:i/>
          <w:color w:val="434343" w:themeColor="text1"/>
        </w:rPr>
        <w:t>Greening without Gentrification: Learning from Parks, Related Anti-Displacement Strategies Nationwide; Institute of the Environment and Sustainability at UCLA</w:t>
      </w:r>
      <w:r>
        <w:rPr>
          <w:color w:val="434343" w:themeColor="text1"/>
        </w:rPr>
        <w:t xml:space="preserve">. (16 de </w:t>
      </w:r>
      <w:proofErr w:type="spellStart"/>
      <w:r>
        <w:rPr>
          <w:color w:val="434343" w:themeColor="text1"/>
        </w:rPr>
        <w:t>octubre</w:t>
      </w:r>
      <w:proofErr w:type="spellEnd"/>
      <w:r>
        <w:rPr>
          <w:color w:val="434343" w:themeColor="text1"/>
        </w:rPr>
        <w:t xml:space="preserve"> de 2023). Institute of the Environment and Sustainability at UCLA.</w:t>
      </w:r>
      <w:r>
        <w:rPr>
          <w:rStyle w:val="tw4winExternal"/>
        </w:rPr>
        <w:t xml:space="preserve"> </w:t>
      </w:r>
      <w:r w:rsidRPr="00F3322A">
        <w:rPr>
          <w:rStyle w:val="Hyperlink"/>
          <w:rFonts w:eastAsiaTheme="minorEastAsia"/>
          <w:kern w:val="0"/>
          <w14:ligatures w14:val="none"/>
        </w:rPr>
        <w:t>https://www.ioes.ucla.edu/project/prads/</w:t>
      </w:r>
    </w:p>
    <w:p w14:paraId="022DDC32" w14:textId="44E07F45" w:rsidR="7BC6DAD4" w:rsidRDefault="7BC6DAD4" w:rsidP="78D9981C">
      <w:pPr>
        <w:ind w:left="-20" w:right="-20"/>
        <w:rPr>
          <w:rFonts w:eastAsiaTheme="minorEastAsia"/>
        </w:rPr>
      </w:pPr>
    </w:p>
    <w:p w14:paraId="1E48282E" w14:textId="3FEA9043" w:rsidR="00B73FA9" w:rsidRDefault="00B73FA9" w:rsidP="78D9981C">
      <w:pPr>
        <w:ind w:left="-20" w:right="-20"/>
        <w:rPr>
          <w:rFonts w:eastAsiaTheme="minorEastAsia"/>
        </w:rPr>
      </w:pPr>
      <w:r>
        <w:rPr>
          <w:i/>
          <w:color w:val="434343" w:themeColor="text1"/>
        </w:rPr>
        <w:t>Greening without Gentrification: Learning from Parks, Related Anti-Displacement Strategies Nationwide; Institute of the Environment and Sustainability at UCLA</w:t>
      </w:r>
      <w:r>
        <w:rPr>
          <w:color w:val="434343" w:themeColor="text1"/>
        </w:rPr>
        <w:t xml:space="preserve">. (16 de </w:t>
      </w:r>
      <w:proofErr w:type="spellStart"/>
      <w:r>
        <w:rPr>
          <w:color w:val="434343" w:themeColor="text1"/>
        </w:rPr>
        <w:t>octubre</w:t>
      </w:r>
      <w:proofErr w:type="spellEnd"/>
      <w:r>
        <w:rPr>
          <w:color w:val="434343" w:themeColor="text1"/>
        </w:rPr>
        <w:t xml:space="preserve"> de 2023). Institute of the Environment and Sustainability at UCLA.</w:t>
      </w:r>
      <w:r>
        <w:rPr>
          <w:rStyle w:val="tw4winExternal"/>
        </w:rPr>
        <w:t xml:space="preserve"> </w:t>
      </w:r>
      <w:r w:rsidRPr="00F3322A">
        <w:rPr>
          <w:rStyle w:val="Hyperlink"/>
          <w:rFonts w:eastAsiaTheme="minorEastAsia"/>
          <w:kern w:val="0"/>
          <w14:ligatures w14:val="none"/>
        </w:rPr>
        <w:t>https://www.ioes.ucla.edu/project/prads/</w:t>
      </w:r>
    </w:p>
    <w:p w14:paraId="513A34B7" w14:textId="21255800" w:rsidR="00B73FA9" w:rsidRPr="003E7E9C" w:rsidRDefault="00B73FA9" w:rsidP="78D9981C">
      <w:pPr>
        <w:ind w:left="-20" w:right="-20"/>
        <w:rPr>
          <w:rStyle w:val="tw4winExternal"/>
        </w:rPr>
      </w:pPr>
      <w:r>
        <w:rPr>
          <w:color w:val="434343" w:themeColor="text1"/>
        </w:rPr>
        <w:t xml:space="preserve">Green, J. (20 de </w:t>
      </w:r>
      <w:proofErr w:type="spellStart"/>
      <w:r>
        <w:rPr>
          <w:color w:val="434343" w:themeColor="text1"/>
        </w:rPr>
        <w:t>diciembre</w:t>
      </w:r>
      <w:proofErr w:type="spellEnd"/>
      <w:r>
        <w:rPr>
          <w:color w:val="434343" w:themeColor="text1"/>
        </w:rPr>
        <w:t xml:space="preserve"> de 2023). </w:t>
      </w:r>
      <w:r>
        <w:rPr>
          <w:i/>
          <w:color w:val="434343" w:themeColor="text1"/>
        </w:rPr>
        <w:t>New Green Spaces Don’t Have to Lead to Gentrification</w:t>
      </w:r>
      <w:r>
        <w:rPr>
          <w:color w:val="434343" w:themeColor="text1"/>
        </w:rPr>
        <w:t xml:space="preserve">. </w:t>
      </w:r>
      <w:proofErr w:type="spellStart"/>
      <w:r>
        <w:rPr>
          <w:color w:val="434343" w:themeColor="text1"/>
        </w:rPr>
        <w:t>ArchDaily</w:t>
      </w:r>
      <w:proofErr w:type="spellEnd"/>
      <w:r>
        <w:rPr>
          <w:color w:val="434343" w:themeColor="text1"/>
        </w:rPr>
        <w:t xml:space="preserve">. </w:t>
      </w:r>
      <w:r w:rsidRPr="00F3322A">
        <w:rPr>
          <w:rStyle w:val="Hyperlink"/>
          <w:rFonts w:eastAsiaTheme="minorEastAsia"/>
          <w:kern w:val="0"/>
          <w14:ligatures w14:val="none"/>
        </w:rPr>
        <w:t>https://www.archdaily.com/976079/new-green-spaces-dont-have-to-lead-to-gentrification</w:t>
      </w:r>
    </w:p>
    <w:p w14:paraId="73545531" w14:textId="14F97211" w:rsidR="59195245" w:rsidRDefault="59195245" w:rsidP="78D9981C">
      <w:pPr>
        <w:ind w:left="-20" w:right="-20"/>
        <w:rPr>
          <w:rFonts w:eastAsiaTheme="minorEastAsia"/>
          <w:i/>
          <w:iCs/>
          <w:color w:val="434343" w:themeColor="text1"/>
        </w:rPr>
      </w:pPr>
      <w:r>
        <w:rPr>
          <w:i/>
          <w:color w:val="434343" w:themeColor="text1"/>
        </w:rPr>
        <w:t>LA ROSAH | LA ROSAH</w:t>
      </w:r>
      <w:r>
        <w:rPr>
          <w:color w:val="434343" w:themeColor="text1"/>
        </w:rPr>
        <w:t xml:space="preserve">. (sin </w:t>
      </w:r>
      <w:proofErr w:type="spellStart"/>
      <w:r>
        <w:rPr>
          <w:color w:val="434343" w:themeColor="text1"/>
        </w:rPr>
        <w:t>fecha</w:t>
      </w:r>
      <w:proofErr w:type="spellEnd"/>
      <w:r>
        <w:rPr>
          <w:color w:val="434343" w:themeColor="text1"/>
        </w:rPr>
        <w:t>).</w:t>
      </w:r>
      <w:r>
        <w:rPr>
          <w:rStyle w:val="tw4winExternal"/>
        </w:rPr>
        <w:t xml:space="preserve"> </w:t>
      </w:r>
      <w:r w:rsidRPr="00F3322A">
        <w:rPr>
          <w:rStyle w:val="Hyperlink"/>
          <w:rFonts w:eastAsiaTheme="minorEastAsia"/>
          <w:kern w:val="0"/>
          <w14:ligatures w14:val="none"/>
        </w:rPr>
        <w:t>https://larosah.org</w:t>
      </w:r>
    </w:p>
    <w:p w14:paraId="5602188D" w14:textId="65D13203" w:rsidR="000220D5" w:rsidRPr="00F3322A" w:rsidRDefault="00B73FA9" w:rsidP="78D9981C">
      <w:pPr>
        <w:ind w:left="-20" w:right="-20"/>
        <w:rPr>
          <w:rStyle w:val="Hyperlink"/>
          <w:kern w:val="0"/>
          <w14:ligatures w14:val="none"/>
        </w:rPr>
      </w:pPr>
      <w:proofErr w:type="spellStart"/>
      <w:r>
        <w:rPr>
          <w:color w:val="434343" w:themeColor="text1"/>
        </w:rPr>
        <w:lastRenderedPageBreak/>
        <w:t>Oscilowicz</w:t>
      </w:r>
      <w:proofErr w:type="spellEnd"/>
      <w:r>
        <w:rPr>
          <w:color w:val="434343" w:themeColor="text1"/>
        </w:rPr>
        <w:t xml:space="preserve">, E. (12 de mayo de 2021). </w:t>
      </w:r>
      <w:r>
        <w:rPr>
          <w:i/>
          <w:color w:val="434343" w:themeColor="text1"/>
        </w:rPr>
        <w:t xml:space="preserve">Conjunto de </w:t>
      </w:r>
      <w:proofErr w:type="spellStart"/>
      <w:r>
        <w:rPr>
          <w:i/>
          <w:color w:val="434343" w:themeColor="text1"/>
        </w:rPr>
        <w:t>herramientas</w:t>
      </w:r>
      <w:proofErr w:type="spellEnd"/>
      <w:r>
        <w:rPr>
          <w:i/>
          <w:color w:val="434343" w:themeColor="text1"/>
        </w:rPr>
        <w:t xml:space="preserve"> de </w:t>
      </w:r>
      <w:proofErr w:type="spellStart"/>
      <w:r>
        <w:rPr>
          <w:i/>
          <w:color w:val="434343" w:themeColor="text1"/>
        </w:rPr>
        <w:t>políticas</w:t>
      </w:r>
      <w:proofErr w:type="spellEnd"/>
      <w:r>
        <w:rPr>
          <w:i/>
          <w:color w:val="434343" w:themeColor="text1"/>
        </w:rPr>
        <w:t xml:space="preserve"> y </w:t>
      </w:r>
      <w:proofErr w:type="spellStart"/>
      <w:r>
        <w:rPr>
          <w:i/>
          <w:color w:val="434343" w:themeColor="text1"/>
        </w:rPr>
        <w:t>planificación</w:t>
      </w:r>
      <w:proofErr w:type="spellEnd"/>
      <w:r>
        <w:rPr>
          <w:i/>
          <w:color w:val="434343" w:themeColor="text1"/>
        </w:rPr>
        <w:t xml:space="preserve"> para la </w:t>
      </w:r>
      <w:proofErr w:type="spellStart"/>
      <w:r>
        <w:rPr>
          <w:i/>
          <w:color w:val="434343" w:themeColor="text1"/>
        </w:rPr>
        <w:t>justicia</w:t>
      </w:r>
      <w:proofErr w:type="spellEnd"/>
      <w:r>
        <w:rPr>
          <w:i/>
          <w:color w:val="434343" w:themeColor="text1"/>
        </w:rPr>
        <w:t xml:space="preserve"> </w:t>
      </w:r>
      <w:proofErr w:type="spellStart"/>
      <w:r>
        <w:rPr>
          <w:i/>
          <w:color w:val="434343" w:themeColor="text1"/>
        </w:rPr>
        <w:t>verde</w:t>
      </w:r>
      <w:proofErr w:type="spellEnd"/>
      <w:r>
        <w:rPr>
          <w:i/>
          <w:color w:val="434343" w:themeColor="text1"/>
        </w:rPr>
        <w:t xml:space="preserve"> </w:t>
      </w:r>
      <w:proofErr w:type="spellStart"/>
      <w:r>
        <w:rPr>
          <w:i/>
          <w:color w:val="434343" w:themeColor="text1"/>
        </w:rPr>
        <w:t>urbana</w:t>
      </w:r>
      <w:proofErr w:type="spellEnd"/>
      <w:r>
        <w:rPr>
          <w:color w:val="434343" w:themeColor="text1"/>
        </w:rPr>
        <w:t>. Barcelona Lab for Urban Environmental Justice and Sustainability.</w:t>
      </w:r>
      <w:r>
        <w:rPr>
          <w:rStyle w:val="tw4winExternal"/>
        </w:rPr>
        <w:t xml:space="preserve"> </w:t>
      </w:r>
      <w:r w:rsidRPr="00F3322A">
        <w:rPr>
          <w:rStyle w:val="Hyperlink"/>
          <w:rFonts w:eastAsiaTheme="minorEastAsia"/>
          <w:kern w:val="0"/>
          <w14:ligatures w14:val="none"/>
        </w:rPr>
        <w:t>https://www.bcnuej.org/2021/04/08/policy-and-planning-toolkit-for-urban-green-justice/</w:t>
      </w:r>
    </w:p>
    <w:p w14:paraId="3BFAF030" w14:textId="1F39F7CA" w:rsidR="000220D5" w:rsidRPr="00A63E0D" w:rsidRDefault="1156B3E8" w:rsidP="78D9981C">
      <w:pPr>
        <w:ind w:left="-20" w:right="-20"/>
        <w:rPr>
          <w:rStyle w:val="Hyperlink"/>
          <w:rFonts w:eastAsiaTheme="minorEastAsia"/>
        </w:rPr>
      </w:pPr>
      <w:r>
        <w:rPr>
          <w:i/>
          <w:color w:val="434343" w:themeColor="text1"/>
        </w:rPr>
        <w:t>Toolkit - CREATE Initiative</w:t>
      </w:r>
      <w:r>
        <w:rPr>
          <w:color w:val="434343" w:themeColor="text1"/>
        </w:rPr>
        <w:t>. (25 de mayo de 2020). CREATE Initiative.</w:t>
      </w:r>
      <w:r>
        <w:rPr>
          <w:rStyle w:val="tw4winExternal"/>
        </w:rPr>
        <w:t xml:space="preserve"> </w:t>
      </w:r>
      <w:r w:rsidRPr="00F3322A">
        <w:rPr>
          <w:rStyle w:val="Hyperlink"/>
          <w:rFonts w:eastAsiaTheme="minorEastAsia"/>
          <w:kern w:val="0"/>
          <w14:ligatures w14:val="none"/>
        </w:rPr>
        <w:t>https://create.umn.edu/toolkit/</w:t>
      </w:r>
    </w:p>
    <w:sectPr w:rsidR="000220D5" w:rsidRPr="00A63E0D" w:rsidSect="003240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144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C5525" w14:textId="77777777" w:rsidR="00E55247" w:rsidRDefault="00E55247" w:rsidP="00806CAA">
      <w:r>
        <w:separator/>
      </w:r>
    </w:p>
  </w:endnote>
  <w:endnote w:type="continuationSeparator" w:id="0">
    <w:p w14:paraId="0BEE186E" w14:textId="77777777" w:rsidR="00E55247" w:rsidRDefault="00E55247" w:rsidP="00806CAA">
      <w:r>
        <w:continuationSeparator/>
      </w:r>
    </w:p>
  </w:endnote>
  <w:endnote w:type="continuationNotice" w:id="1">
    <w:p w14:paraId="57158876" w14:textId="77777777" w:rsidR="00E55247" w:rsidRDefault="00E552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99703624"/>
      <w:docPartObj>
        <w:docPartGallery w:val="Page Numbers (Bottom of Page)"/>
        <w:docPartUnique/>
      </w:docPartObj>
    </w:sdtPr>
    <w:sdtContent>
      <w:p w14:paraId="49D93773" w14:textId="4D0F9DD0" w:rsidR="00020476" w:rsidRDefault="000204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A42B028" w14:textId="77777777" w:rsidR="00020476" w:rsidRDefault="00020476" w:rsidP="000204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color w:val="237D12" w:themeColor="text2"/>
      </w:rPr>
      <w:id w:val="-748044195"/>
      <w:docPartObj>
        <w:docPartGallery w:val="Page Numbers (Bottom of Page)"/>
        <w:docPartUnique/>
      </w:docPartObj>
    </w:sdtPr>
    <w:sdtContent>
      <w:p w14:paraId="023289C7" w14:textId="3E292180" w:rsidR="00020476" w:rsidRPr="00AD29EE" w:rsidRDefault="00020476" w:rsidP="00AD29E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color w:val="237D12" w:themeColor="text2"/>
          </w:rPr>
        </w:pP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begin"/>
        </w:r>
        <w:r w:rsidRPr="00AD29EE">
          <w:rPr>
            <w:rStyle w:val="PageNumber"/>
            <w:rFonts w:ascii="Arial" w:hAnsi="Arial" w:cs="Arial"/>
            <w:color w:val="237D12" w:themeColor="text2"/>
          </w:rPr>
          <w:instrText xml:space="preserve"> PAGE </w:instrTex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separate"/>
        </w:r>
        <w:r w:rsidRPr="00AD29EE">
          <w:rPr>
            <w:rStyle w:val="PageNumber"/>
            <w:rFonts w:ascii="Arial" w:hAnsi="Arial" w:cs="Arial"/>
            <w:color w:val="237D12" w:themeColor="text2"/>
          </w:rPr>
          <w:t>2</w:t>
        </w:r>
        <w:r w:rsidRPr="00AD29EE">
          <w:rPr>
            <w:rStyle w:val="PageNumber"/>
            <w:rFonts w:ascii="Arial" w:hAnsi="Arial" w:cs="Arial"/>
            <w:color w:val="237D12" w:themeColor="text2"/>
          </w:rPr>
          <w:fldChar w:fldCharType="end"/>
        </w:r>
      </w:p>
    </w:sdtContent>
  </w:sdt>
  <w:p w14:paraId="7134B95E" w14:textId="235047B3" w:rsidR="000B321B" w:rsidRDefault="00867C35" w:rsidP="00020476">
    <w:pPr>
      <w:pStyle w:val="Footer"/>
      <w:ind w:right="360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BF35E8" wp14:editId="4D031F21">
          <wp:simplePos x="0" y="0"/>
          <wp:positionH relativeFrom="column">
            <wp:posOffset>-913765</wp:posOffset>
          </wp:positionH>
          <wp:positionV relativeFrom="paragraph">
            <wp:posOffset>-3888858</wp:posOffset>
          </wp:positionV>
          <wp:extent cx="7824979" cy="4347210"/>
          <wp:effectExtent l="0" t="0" r="0" b="0"/>
          <wp:wrapNone/>
          <wp:docPr id="1587601577" name="Picture 2" descr="A white background with a white wav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601577" name="Picture 2" descr="A white background with a white wav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824979" cy="4347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1" locked="0" layoutInCell="1" allowOverlap="1" wp14:anchorId="755F9A42" wp14:editId="246AE214">
          <wp:simplePos x="0" y="0"/>
          <wp:positionH relativeFrom="column">
            <wp:posOffset>3998072</wp:posOffset>
          </wp:positionH>
          <wp:positionV relativeFrom="paragraph">
            <wp:posOffset>-236220</wp:posOffset>
          </wp:positionV>
          <wp:extent cx="1433195" cy="382270"/>
          <wp:effectExtent l="0" t="0" r="1905" b="0"/>
          <wp:wrapNone/>
          <wp:docPr id="767967618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19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C4E0D" w14:textId="77777777" w:rsidR="00867C35" w:rsidRDefault="0086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60162" w14:textId="77777777" w:rsidR="00E55247" w:rsidRDefault="00E55247" w:rsidP="00806CAA">
      <w:r>
        <w:separator/>
      </w:r>
    </w:p>
  </w:footnote>
  <w:footnote w:type="continuationSeparator" w:id="0">
    <w:p w14:paraId="60287A3B" w14:textId="77777777" w:rsidR="00E55247" w:rsidRDefault="00E55247" w:rsidP="00806CAA">
      <w:r>
        <w:continuationSeparator/>
      </w:r>
    </w:p>
  </w:footnote>
  <w:footnote w:type="continuationNotice" w:id="1">
    <w:p w14:paraId="154301A2" w14:textId="77777777" w:rsidR="00E55247" w:rsidRDefault="00E552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0CA" w14:textId="77777777" w:rsidR="00867C35" w:rsidRDefault="0086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E4D8" w14:textId="77777777" w:rsidR="00867C35" w:rsidRDefault="00867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2AA7B" w14:textId="3C70796E" w:rsidR="006C7CF6" w:rsidRDefault="00546E5A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82C7591" wp14:editId="468FA1B5">
          <wp:simplePos x="0" y="0"/>
          <wp:positionH relativeFrom="column">
            <wp:posOffset>30146</wp:posOffset>
          </wp:positionH>
          <wp:positionV relativeFrom="paragraph">
            <wp:posOffset>-622997</wp:posOffset>
          </wp:positionV>
          <wp:extent cx="1547446" cy="412652"/>
          <wp:effectExtent l="0" t="0" r="2540" b="0"/>
          <wp:wrapNone/>
          <wp:docPr id="1780902431" name="Picture 1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0902431" name="Picture 1" descr="A green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8192" cy="418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4378CEB" wp14:editId="76113285">
          <wp:simplePos x="0" y="0"/>
          <wp:positionH relativeFrom="column">
            <wp:posOffset>-914016</wp:posOffset>
          </wp:positionH>
          <wp:positionV relativeFrom="paragraph">
            <wp:posOffset>-913695</wp:posOffset>
          </wp:positionV>
          <wp:extent cx="8983227" cy="4990682"/>
          <wp:effectExtent l="0" t="0" r="0" b="635"/>
          <wp:wrapNone/>
          <wp:docPr id="1503129309" name="Picture 2" descr="A white and grey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3129309" name="Picture 2" descr="A white and grey background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983227" cy="4990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2262E"/>
    <w:multiLevelType w:val="hybridMultilevel"/>
    <w:tmpl w:val="457271E6"/>
    <w:lvl w:ilvl="0" w:tplc="11D4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CC6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1C1C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06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B4D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2EC8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9019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AABD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463F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BD4CB"/>
    <w:multiLevelType w:val="hybridMultilevel"/>
    <w:tmpl w:val="5ED0A714"/>
    <w:lvl w:ilvl="0" w:tplc="3EC43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504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78AC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C0E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2E3F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7E8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8C5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E49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A83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24702"/>
    <w:multiLevelType w:val="hybridMultilevel"/>
    <w:tmpl w:val="45589DE8"/>
    <w:lvl w:ilvl="0" w:tplc="11D4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968A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B695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6BF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308B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102C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5EE6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69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E4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BBB9E"/>
    <w:multiLevelType w:val="hybridMultilevel"/>
    <w:tmpl w:val="72D86DB2"/>
    <w:lvl w:ilvl="0" w:tplc="A7D4D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50DC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34CE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F0DE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653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CAB0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887C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26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945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68DE7"/>
    <w:multiLevelType w:val="hybridMultilevel"/>
    <w:tmpl w:val="B9406DA2"/>
    <w:lvl w:ilvl="0" w:tplc="3B940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A238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3C21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72B9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EE0A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F638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6B3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D8BE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3EA7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860955">
    <w:abstractNumId w:val="0"/>
  </w:num>
  <w:num w:numId="2" w16cid:durableId="535773750">
    <w:abstractNumId w:val="2"/>
  </w:num>
  <w:num w:numId="3" w16cid:durableId="1474328534">
    <w:abstractNumId w:val="1"/>
  </w:num>
  <w:num w:numId="4" w16cid:durableId="1390302846">
    <w:abstractNumId w:val="4"/>
  </w:num>
  <w:num w:numId="5" w16cid:durableId="57358656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B60E00D"/>
    <w:rsid w:val="00002913"/>
    <w:rsid w:val="00013EEA"/>
    <w:rsid w:val="000165B3"/>
    <w:rsid w:val="000176EF"/>
    <w:rsid w:val="00020476"/>
    <w:rsid w:val="000220D5"/>
    <w:rsid w:val="00034930"/>
    <w:rsid w:val="000459ED"/>
    <w:rsid w:val="000B321B"/>
    <w:rsid w:val="00197E0E"/>
    <w:rsid w:val="001B024E"/>
    <w:rsid w:val="00265457"/>
    <w:rsid w:val="00273A08"/>
    <w:rsid w:val="002F5722"/>
    <w:rsid w:val="003240A0"/>
    <w:rsid w:val="00353997"/>
    <w:rsid w:val="00354C7E"/>
    <w:rsid w:val="00376263"/>
    <w:rsid w:val="00391D74"/>
    <w:rsid w:val="003972A8"/>
    <w:rsid w:val="003E7E9C"/>
    <w:rsid w:val="0042407C"/>
    <w:rsid w:val="00455DF0"/>
    <w:rsid w:val="00487FCD"/>
    <w:rsid w:val="004903A6"/>
    <w:rsid w:val="004905EA"/>
    <w:rsid w:val="004B4BCE"/>
    <w:rsid w:val="004E4F70"/>
    <w:rsid w:val="00546E5A"/>
    <w:rsid w:val="005749D6"/>
    <w:rsid w:val="00590EA3"/>
    <w:rsid w:val="005D052F"/>
    <w:rsid w:val="005F5F5C"/>
    <w:rsid w:val="00631869"/>
    <w:rsid w:val="00644BBC"/>
    <w:rsid w:val="0067150B"/>
    <w:rsid w:val="006A3959"/>
    <w:rsid w:val="006C5A53"/>
    <w:rsid w:val="006C7CF6"/>
    <w:rsid w:val="006D2E40"/>
    <w:rsid w:val="007208FA"/>
    <w:rsid w:val="00720992"/>
    <w:rsid w:val="00780ABD"/>
    <w:rsid w:val="00787669"/>
    <w:rsid w:val="00806CAA"/>
    <w:rsid w:val="00867C35"/>
    <w:rsid w:val="00875923"/>
    <w:rsid w:val="00897A82"/>
    <w:rsid w:val="008B2FF6"/>
    <w:rsid w:val="008F0851"/>
    <w:rsid w:val="009120D1"/>
    <w:rsid w:val="009244C8"/>
    <w:rsid w:val="00932F4C"/>
    <w:rsid w:val="00956796"/>
    <w:rsid w:val="00970F1F"/>
    <w:rsid w:val="00977F30"/>
    <w:rsid w:val="00996045"/>
    <w:rsid w:val="009C78AE"/>
    <w:rsid w:val="009D487A"/>
    <w:rsid w:val="00A06B1D"/>
    <w:rsid w:val="00A26DFA"/>
    <w:rsid w:val="00A63E0D"/>
    <w:rsid w:val="00A94B83"/>
    <w:rsid w:val="00AAA338"/>
    <w:rsid w:val="00AB7745"/>
    <w:rsid w:val="00AD29EE"/>
    <w:rsid w:val="00AE4668"/>
    <w:rsid w:val="00B05960"/>
    <w:rsid w:val="00B5514D"/>
    <w:rsid w:val="00B64072"/>
    <w:rsid w:val="00B73FA9"/>
    <w:rsid w:val="00BB4FA4"/>
    <w:rsid w:val="00BC27A0"/>
    <w:rsid w:val="00BF53BA"/>
    <w:rsid w:val="00C091F5"/>
    <w:rsid w:val="00C12D25"/>
    <w:rsid w:val="00C51751"/>
    <w:rsid w:val="00C56055"/>
    <w:rsid w:val="00CA4238"/>
    <w:rsid w:val="00CB4885"/>
    <w:rsid w:val="00CF742B"/>
    <w:rsid w:val="00D75A2C"/>
    <w:rsid w:val="00D80F3A"/>
    <w:rsid w:val="00D91336"/>
    <w:rsid w:val="00DD5CAD"/>
    <w:rsid w:val="00DF3DE3"/>
    <w:rsid w:val="00E55247"/>
    <w:rsid w:val="00F11FDB"/>
    <w:rsid w:val="00F21A79"/>
    <w:rsid w:val="00F3322A"/>
    <w:rsid w:val="00F400C3"/>
    <w:rsid w:val="00F82581"/>
    <w:rsid w:val="00FD1C5B"/>
    <w:rsid w:val="016B8022"/>
    <w:rsid w:val="0184982D"/>
    <w:rsid w:val="01EECE9B"/>
    <w:rsid w:val="01F9C4C4"/>
    <w:rsid w:val="02AF5855"/>
    <w:rsid w:val="037CF9D8"/>
    <w:rsid w:val="04A320E4"/>
    <w:rsid w:val="054CD075"/>
    <w:rsid w:val="057B2AC1"/>
    <w:rsid w:val="088B5317"/>
    <w:rsid w:val="09547668"/>
    <w:rsid w:val="0AEB1EAE"/>
    <w:rsid w:val="0C7D9258"/>
    <w:rsid w:val="0D3132A2"/>
    <w:rsid w:val="0DA3A010"/>
    <w:rsid w:val="0DB183C3"/>
    <w:rsid w:val="0E0EBF2E"/>
    <w:rsid w:val="0E39F743"/>
    <w:rsid w:val="10CD82F0"/>
    <w:rsid w:val="111DE8E6"/>
    <w:rsid w:val="1156B3E8"/>
    <w:rsid w:val="118EB0A4"/>
    <w:rsid w:val="12AAB07B"/>
    <w:rsid w:val="142405AE"/>
    <w:rsid w:val="147AC227"/>
    <w:rsid w:val="175BF86F"/>
    <w:rsid w:val="17BC0201"/>
    <w:rsid w:val="1810A708"/>
    <w:rsid w:val="1843FB85"/>
    <w:rsid w:val="189D9FA5"/>
    <w:rsid w:val="18FC029C"/>
    <w:rsid w:val="1A8C0002"/>
    <w:rsid w:val="1AC03547"/>
    <w:rsid w:val="1ADEADEA"/>
    <w:rsid w:val="1B60E00D"/>
    <w:rsid w:val="1BCBCE43"/>
    <w:rsid w:val="1C69F536"/>
    <w:rsid w:val="1E229865"/>
    <w:rsid w:val="234B5F7F"/>
    <w:rsid w:val="255CC6B9"/>
    <w:rsid w:val="261EBA06"/>
    <w:rsid w:val="26C7B9C7"/>
    <w:rsid w:val="29DF0299"/>
    <w:rsid w:val="2A13BE4D"/>
    <w:rsid w:val="2B5D8CA0"/>
    <w:rsid w:val="2BAF8EAE"/>
    <w:rsid w:val="2BDE0096"/>
    <w:rsid w:val="2C1AE969"/>
    <w:rsid w:val="2C690C6F"/>
    <w:rsid w:val="2CCAE45D"/>
    <w:rsid w:val="2D631744"/>
    <w:rsid w:val="2DC1FAA7"/>
    <w:rsid w:val="2EB54D60"/>
    <w:rsid w:val="2F1693AB"/>
    <w:rsid w:val="2F49B24F"/>
    <w:rsid w:val="323C3E0B"/>
    <w:rsid w:val="32930DEA"/>
    <w:rsid w:val="32A08C00"/>
    <w:rsid w:val="32E414B1"/>
    <w:rsid w:val="34DB3832"/>
    <w:rsid w:val="36129C88"/>
    <w:rsid w:val="371001B0"/>
    <w:rsid w:val="399B0FAB"/>
    <w:rsid w:val="3B36CD67"/>
    <w:rsid w:val="3B9F02B8"/>
    <w:rsid w:val="3C7B1DE1"/>
    <w:rsid w:val="3DA1F0EC"/>
    <w:rsid w:val="3E2C1A13"/>
    <w:rsid w:val="3F55CE47"/>
    <w:rsid w:val="4394FC89"/>
    <w:rsid w:val="44264474"/>
    <w:rsid w:val="44C6F805"/>
    <w:rsid w:val="45640222"/>
    <w:rsid w:val="45F128E1"/>
    <w:rsid w:val="45FF2DB5"/>
    <w:rsid w:val="46D9A230"/>
    <w:rsid w:val="4730693B"/>
    <w:rsid w:val="484E5A70"/>
    <w:rsid w:val="489F0403"/>
    <w:rsid w:val="48ECA4A6"/>
    <w:rsid w:val="49716785"/>
    <w:rsid w:val="4B6539F8"/>
    <w:rsid w:val="50BC1DCF"/>
    <w:rsid w:val="51124A46"/>
    <w:rsid w:val="521230B8"/>
    <w:rsid w:val="52D48298"/>
    <w:rsid w:val="53236227"/>
    <w:rsid w:val="53E92301"/>
    <w:rsid w:val="5534CAFE"/>
    <w:rsid w:val="56D09B5F"/>
    <w:rsid w:val="5767EE39"/>
    <w:rsid w:val="58040391"/>
    <w:rsid w:val="586C6BC0"/>
    <w:rsid w:val="59171CCF"/>
    <w:rsid w:val="59195245"/>
    <w:rsid w:val="5BA40C82"/>
    <w:rsid w:val="5DA81276"/>
    <w:rsid w:val="5ED50B13"/>
    <w:rsid w:val="5EDBAD44"/>
    <w:rsid w:val="5FF051DB"/>
    <w:rsid w:val="61082585"/>
    <w:rsid w:val="617142D6"/>
    <w:rsid w:val="62A74094"/>
    <w:rsid w:val="6354C7FE"/>
    <w:rsid w:val="652F896D"/>
    <w:rsid w:val="65591210"/>
    <w:rsid w:val="65765CFA"/>
    <w:rsid w:val="65D8A46B"/>
    <w:rsid w:val="666F041C"/>
    <w:rsid w:val="687111CE"/>
    <w:rsid w:val="68877695"/>
    <w:rsid w:val="6910783C"/>
    <w:rsid w:val="697E523C"/>
    <w:rsid w:val="6C0E249E"/>
    <w:rsid w:val="6CB4D26B"/>
    <w:rsid w:val="6CEF2569"/>
    <w:rsid w:val="6D7A232F"/>
    <w:rsid w:val="6DDC295F"/>
    <w:rsid w:val="6EFFF2A5"/>
    <w:rsid w:val="70B429E7"/>
    <w:rsid w:val="70BD0E54"/>
    <w:rsid w:val="729EAC89"/>
    <w:rsid w:val="744DBD0E"/>
    <w:rsid w:val="78D9981C"/>
    <w:rsid w:val="7A153535"/>
    <w:rsid w:val="7BC6DAD4"/>
    <w:rsid w:val="7BE8140A"/>
    <w:rsid w:val="7CB6FE57"/>
    <w:rsid w:val="7D04D870"/>
    <w:rsid w:val="7D98ED25"/>
    <w:rsid w:val="7EA0A8D1"/>
    <w:rsid w:val="7ECBE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0E00D"/>
  <w15:chartTrackingRefBased/>
  <w15:docId w15:val="{A0FD5F97-17F2-4373-ABAF-F6727451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87A"/>
    <w:pPr>
      <w:spacing w:after="0" w:line="240" w:lineRule="auto"/>
    </w:pPr>
    <w:rPr>
      <w:rFonts w:ascii="Avenir Light" w:hAnsi="Avenir Light" w:cs="AngsanaUPC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  <w:rsid w:val="009D487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D487A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14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E4F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4F7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06C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6CAA"/>
  </w:style>
  <w:style w:type="paragraph" w:styleId="Footer">
    <w:name w:val="footer"/>
    <w:basedOn w:val="Normal"/>
    <w:link w:val="FooterChar"/>
    <w:uiPriority w:val="99"/>
    <w:unhideWhenUsed/>
    <w:rsid w:val="00806C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6CAA"/>
  </w:style>
  <w:style w:type="character" w:styleId="PageNumber">
    <w:name w:val="page number"/>
    <w:basedOn w:val="DefaultParagraphFont"/>
    <w:uiPriority w:val="99"/>
    <w:semiHidden/>
    <w:unhideWhenUsed/>
    <w:rsid w:val="00020476"/>
  </w:style>
  <w:style w:type="character" w:customStyle="1" w:styleId="normaltextrun">
    <w:name w:val="normaltextrun"/>
    <w:basedOn w:val="DefaultParagraphFont"/>
    <w:rsid w:val="00D75A2C"/>
  </w:style>
  <w:style w:type="character" w:customStyle="1" w:styleId="eop">
    <w:name w:val="eop"/>
    <w:basedOn w:val="DefaultParagraphFont"/>
    <w:rsid w:val="00D75A2C"/>
  </w:style>
  <w:style w:type="paragraph" w:customStyle="1" w:styleId="paragraph">
    <w:name w:val="paragraph"/>
    <w:basedOn w:val="Normal"/>
    <w:rsid w:val="0042407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w4winExternal">
    <w:name w:val="tw4winExternal"/>
    <w:rsid w:val="00F3322A"/>
    <w:rPr>
      <w:rFonts w:ascii="Times New Roman" w:hAnsi="Times New Roman"/>
      <w:noProof/>
      <w:color w:val="808080"/>
    </w:rPr>
  </w:style>
  <w:style w:type="character" w:customStyle="1" w:styleId="tw4winInternal">
    <w:name w:val="tw4winInternal"/>
    <w:rsid w:val="00F3322A"/>
    <w:rPr>
      <w:rFonts w:ascii="Times New Roman" w:hAnsi="Times New Roman"/>
      <w:noProof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3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0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8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7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8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7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1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0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0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4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2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6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9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2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Urban and Community Forestry 1">
      <a:dk1>
        <a:srgbClr val="434343"/>
      </a:dk1>
      <a:lt1>
        <a:srgbClr val="FFFFFF"/>
      </a:lt1>
      <a:dk2>
        <a:srgbClr val="237D12"/>
      </a:dk2>
      <a:lt2>
        <a:srgbClr val="E7E6E6"/>
      </a:lt2>
      <a:accent1>
        <a:srgbClr val="ABDC8C"/>
      </a:accent1>
      <a:accent2>
        <a:srgbClr val="FAC864"/>
      </a:accent2>
      <a:accent3>
        <a:srgbClr val="F09380"/>
      </a:accent3>
      <a:accent4>
        <a:srgbClr val="A97FD2"/>
      </a:accent4>
      <a:accent5>
        <a:srgbClr val="46A5D0"/>
      </a:accent5>
      <a:accent6>
        <a:srgbClr val="CACAC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B81A36B949A643AC3D625B2786FFCF" ma:contentTypeVersion="13" ma:contentTypeDescription="Create a new document." ma:contentTypeScope="" ma:versionID="a75b0441d95d582c2526cbf923b9b38e">
  <xsd:schema xmlns:xsd="http://www.w3.org/2001/XMLSchema" xmlns:xs="http://www.w3.org/2001/XMLSchema" xmlns:p="http://schemas.microsoft.com/office/2006/metadata/properties" xmlns:ns2="5888fc64-4fc7-4ce5-9021-c38539a81fbe" xmlns:ns3="7a12b634-940b-4d96-9c54-fcdcacdad810" targetNamespace="http://schemas.microsoft.com/office/2006/metadata/properties" ma:root="true" ma:fieldsID="fa61e826fe2ec073fb24331c393e8083" ns2:_="" ns3:_="">
    <xsd:import namespace="5888fc64-4fc7-4ce5-9021-c38539a81fbe"/>
    <xsd:import namespace="7a12b634-940b-4d96-9c54-fcdcacdad8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8fc64-4fc7-4ce5-9021-c38539a81f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d038b50-52dc-447d-ac2e-a29bd036c4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2b634-940b-4d96-9c54-fcdcacdad8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8fc64-4fc7-4ce5-9021-c38539a81fbe">
      <Terms xmlns="http://schemas.microsoft.com/office/infopath/2007/PartnerControls"/>
    </lcf76f155ced4ddcb4097134ff3c332f>
    <SharedWithUsers xmlns="7a12b634-940b-4d96-9c54-fcdcacdad810">
      <UserInfo>
        <DisplayName>Hamlin, Mary Davis (mh5q)</DisplayName>
        <AccountId>33</AccountId>
        <AccountType/>
      </UserInfo>
      <UserInfo>
        <DisplayName>Baxter, Ian (ib7jx)</DisplayName>
        <AccountId>48</AccountId>
        <AccountType/>
      </UserInfo>
      <UserInfo>
        <DisplayName>Moore, Julia Danielle (ytd8pp)</DisplayName>
        <AccountId>20</AccountId>
        <AccountType/>
      </UserInfo>
      <UserInfo>
        <DisplayName>Klavon, Max (mdm3ev)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C32D223-FC26-2546-B27E-9EFA49FFE3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87D027-D397-4DA1-A7AD-C2AD91328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8fc64-4fc7-4ce5-9021-c38539a81fbe"/>
    <ds:schemaRef ds:uri="7a12b634-940b-4d96-9c54-fcdcacdad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CF32E6-ED98-4497-B917-F30DC88A37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3E1BF7-8B89-4E41-8125-4E96767B317B}">
  <ds:schemaRefs>
    <ds:schemaRef ds:uri="http://schemas.microsoft.com/office/2006/metadata/properties"/>
    <ds:schemaRef ds:uri="http://schemas.microsoft.com/office/infopath/2007/PartnerControls"/>
    <ds:schemaRef ds:uri="5888fc64-4fc7-4ce5-9021-c38539a81fbe"/>
    <ds:schemaRef ds:uri="7a12b634-940b-4d96-9c54-fcdcacdad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1019</Words>
  <Characters>5812</Characters>
  <Application>Microsoft Office Word</Application>
  <DocSecurity>0</DocSecurity>
  <Lines>48</Lines>
  <Paragraphs>13</Paragraphs>
  <ScaleCrop>false</ScaleCrop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Baxter, Ian (ib7jx)</dc:creator>
  <cp:keywords/>
  <dc:description/>
  <cp:lastModifiedBy>Jennie Mummert</cp:lastModifiedBy>
  <cp:revision>2</cp:revision>
  <dcterms:created xsi:type="dcterms:W3CDTF">2025-03-28T18:47:00Z</dcterms:created>
  <dcterms:modified xsi:type="dcterms:W3CDTF">2025-03-28T18:47:00Z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0x0101005CB81A36B949A643AC3D625B2786FFCF</vt:lpwstr>
  </property>
  <property fmtid="{D5CDD505-2E9C-101B-9397-08002B2CF9AE}" pid="3" name="MediaServiceImageTags">
    <vt:lpwstr/>
  </property>
</Properties>
</file>