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B8E9323" w14:textId="2C72FCE0" w:rsidR="00DD0B30" w:rsidRDefault="0026318E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52190AA" wp14:editId="36F2FD91">
                <wp:simplePos x="0" y="0"/>
                <wp:positionH relativeFrom="column">
                  <wp:posOffset>853440</wp:posOffset>
                </wp:positionH>
                <wp:positionV relativeFrom="paragraph">
                  <wp:posOffset>-3154680</wp:posOffset>
                </wp:positionV>
                <wp:extent cx="2560955" cy="153162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0955" cy="1531620"/>
                        </a:xfrm>
                        <a:prstGeom prst="roundRect">
                          <a:avLst/>
                        </a:prstGeom>
                        <a:solidFill>
                          <a:srgbClr val="FFFFAF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118BE5F" w14:textId="77777777" w:rsidR="00C27E0D" w:rsidRPr="00C27E0D" w:rsidRDefault="00C27E0D" w:rsidP="00C27E0D">
                            <w:pPr>
                              <w:spacing w:after="0" w:line="240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sz w:val="28"/>
                              </w:rPr>
                            </w:pPr>
                            <w:r w:rsidRPr="00C27E0D">
                              <w:rPr>
                                <w:rFonts w:ascii="Century Gothic" w:hAnsi="Century Gothic"/>
                                <w:b/>
                                <w:sz w:val="28"/>
                              </w:rPr>
                              <w:t>Community garden programs can reduce food insecurity, improve dietary intake, and strengthen family relationships.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52190AA" id="Text Box 9" o:spid="_x0000_s1026" style="position:absolute;margin-left:67.2pt;margin-top:-248.4pt;width:201.65pt;height:120.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" fillcolor="#ffffaf" stroked="f" strokeweight=".5pt">
                <v:textbox>
                  <w:txbxContent>
                    <w:p w14:paraId="4118BE5F" w14:textId="77777777" w:rsidR="00C27E0D" w:rsidRPr="00C27E0D" w:rsidRDefault="00C27E0D" w:rsidP="00C27E0D">
                      <w:pPr>
                        <w:spacing w:after="0" w:line="240" w:lineRule="auto"/>
                        <w:jc w:val="center"/>
                        <w:rPr>
                          <w:rFonts w:ascii="Century Gothic" w:hAnsi="Century Gothic"/>
                          <w:b/>
                          <w:sz w:val="28"/>
                        </w:rPr>
                      </w:pPr>
                      <w:r w:rsidRPr="00C27E0D">
                        <w:rPr>
                          <w:rFonts w:ascii="Century Gothic" w:hAnsi="Century Gothic"/>
                          <w:b/>
                          <w:sz w:val="28"/>
                        </w:rPr>
                        <w:t>Community garden programs can reduce food insecurity, improve dietary intake, and strengthen family relationships.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3ADF596" wp14:editId="35828B96">
                <wp:simplePos x="0" y="0"/>
                <wp:positionH relativeFrom="column">
                  <wp:posOffset>5593080</wp:posOffset>
                </wp:positionH>
                <wp:positionV relativeFrom="paragraph">
                  <wp:posOffset>-5234940</wp:posOffset>
                </wp:positionV>
                <wp:extent cx="2581910" cy="1645920"/>
                <wp:effectExtent l="0" t="0" r="8890" b="0"/>
                <wp:wrapNone/>
                <wp:docPr id="7" name="Rounded 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2581910" cy="1645920"/>
                        </a:xfrm>
                        <a:prstGeom prst="roundRect">
                          <a:avLst/>
                        </a:prstGeom>
                        <a:solidFill>
                          <a:srgbClr val="FFFFA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9A075B5" w14:textId="77777777" w:rsidR="005D09BD" w:rsidRPr="005D09BD" w:rsidRDefault="005D09BD" w:rsidP="005D09BD">
                            <w:pPr>
                              <w:spacing w:after="0" w:line="240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color w:val="000000" w:themeColor="text1"/>
                                <w:sz w:val="28"/>
                              </w:rPr>
                            </w:pPr>
                            <w:r w:rsidRPr="005D09BD">
                              <w:rPr>
                                <w:rFonts w:ascii="Century Gothic" w:hAnsi="Century Gothic"/>
                                <w:b/>
                                <w:color w:val="000000" w:themeColor="text1"/>
                                <w:sz w:val="28"/>
                              </w:rPr>
                              <w:t>Community garden</w:t>
                            </w:r>
                            <w:r w:rsidR="000C61C7">
                              <w:rPr>
                                <w:rFonts w:ascii="Century Gothic" w:hAnsi="Century Gothic"/>
                                <w:b/>
                                <w:color w:val="000000" w:themeColor="text1"/>
                                <w:sz w:val="28"/>
                              </w:rPr>
                              <w:t>s</w:t>
                            </w:r>
                            <w:r w:rsidRPr="005D09BD">
                              <w:rPr>
                                <w:rFonts w:ascii="Century Gothic" w:hAnsi="Century Gothic"/>
                                <w:b/>
                                <w:color w:val="000000" w:themeColor="text1"/>
                                <w:sz w:val="28"/>
                              </w:rPr>
                              <w:t xml:space="preserve"> create social ties, help reduce crime, empower residents, and help them feel safer in their neighborhood.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3ADF596" id="Rounded Rectangle 7" o:spid="_x0000_s1027" style="position:absolute;margin-left:440.4pt;margin-top:-412.2pt;width:203.3pt;height:129.6pt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" fillcolor="#ffffaf" stroked="f" strokeweight="2pt">
                <v:textbox>
                  <w:txbxContent>
                    <w:p w14:paraId="49A075B5" w14:textId="77777777" w:rsidR="005D09BD" w:rsidRPr="005D09BD" w:rsidRDefault="005D09BD" w:rsidP="005D09BD">
                      <w:pPr>
                        <w:spacing w:after="0" w:line="240" w:lineRule="auto"/>
                        <w:jc w:val="center"/>
                        <w:rPr>
                          <w:rFonts w:ascii="Century Gothic" w:hAnsi="Century Gothic"/>
                          <w:b/>
                          <w:color w:val="000000" w:themeColor="text1"/>
                          <w:sz w:val="28"/>
                        </w:rPr>
                      </w:pPr>
                      <w:r w:rsidRPr="005D09BD">
                        <w:rPr>
                          <w:rFonts w:ascii="Century Gothic" w:hAnsi="Century Gothic"/>
                          <w:b/>
                          <w:color w:val="000000" w:themeColor="text1"/>
                          <w:sz w:val="28"/>
                        </w:rPr>
                        <w:t>Community garden</w:t>
                      </w:r>
                      <w:r w:rsidR="000C61C7">
                        <w:rPr>
                          <w:rFonts w:ascii="Century Gothic" w:hAnsi="Century Gothic"/>
                          <w:b/>
                          <w:color w:val="000000" w:themeColor="text1"/>
                          <w:sz w:val="28"/>
                        </w:rPr>
                        <w:t>s</w:t>
                      </w:r>
                      <w:r w:rsidRPr="005D09BD">
                        <w:rPr>
                          <w:rFonts w:ascii="Century Gothic" w:hAnsi="Century Gothic"/>
                          <w:b/>
                          <w:color w:val="000000" w:themeColor="text1"/>
                          <w:sz w:val="28"/>
                        </w:rPr>
                        <w:t xml:space="preserve"> create social ties, help reduce crime, empower residents, and help them feel safer in their neighborhood.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0FCCFF5" wp14:editId="189DE20E">
                <wp:simplePos x="0" y="0"/>
                <wp:positionH relativeFrom="column">
                  <wp:posOffset>-868680</wp:posOffset>
                </wp:positionH>
                <wp:positionV relativeFrom="paragraph">
                  <wp:posOffset>320040</wp:posOffset>
                </wp:positionV>
                <wp:extent cx="9959340" cy="510540"/>
                <wp:effectExtent l="0" t="0" r="0" b="381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59340" cy="5105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A557BF" w14:textId="77777777" w:rsidR="00C27E0D" w:rsidRPr="00C27E0D" w:rsidRDefault="00C27E0D" w:rsidP="00C27E0D">
                            <w:pPr>
                              <w:spacing w:after="0" w:line="240" w:lineRule="auto"/>
                              <w:rPr>
                                <w:sz w:val="12"/>
                                <w:szCs w:val="12"/>
                              </w:rPr>
                            </w:pPr>
                            <w:r w:rsidRPr="00C27E0D">
                              <w:rPr>
                                <w:sz w:val="12"/>
                                <w:szCs w:val="12"/>
                              </w:rPr>
                              <w:t xml:space="preserve">Carney, P. A., Hamada, J. L., </w:t>
                            </w:r>
                            <w:proofErr w:type="spellStart"/>
                            <w:r w:rsidRPr="00C27E0D">
                              <w:rPr>
                                <w:sz w:val="12"/>
                                <w:szCs w:val="12"/>
                              </w:rPr>
                              <w:t>Rdesinski</w:t>
                            </w:r>
                            <w:proofErr w:type="spellEnd"/>
                            <w:r w:rsidRPr="00C27E0D">
                              <w:rPr>
                                <w:sz w:val="12"/>
                                <w:szCs w:val="12"/>
                              </w:rPr>
                              <w:t xml:space="preserve">, R. E., </w:t>
                            </w:r>
                            <w:proofErr w:type="spellStart"/>
                            <w:r w:rsidRPr="00C27E0D">
                              <w:rPr>
                                <w:sz w:val="12"/>
                                <w:szCs w:val="12"/>
                              </w:rPr>
                              <w:t>Sprager</w:t>
                            </w:r>
                            <w:proofErr w:type="spellEnd"/>
                            <w:r w:rsidRPr="00C27E0D">
                              <w:rPr>
                                <w:sz w:val="12"/>
                                <w:szCs w:val="12"/>
                              </w:rPr>
                              <w:t>, L., Nichols, K. R., Liu, B. Y., Pelayo, J., Sanchez, M.,</w:t>
                            </w:r>
                            <w:r>
                              <w:rPr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Pr="00C27E0D">
                              <w:rPr>
                                <w:sz w:val="12"/>
                                <w:szCs w:val="12"/>
                              </w:rPr>
                              <w:t>&amp;amp; Shannon, J. (2011). Impact of a community gardening project on vegetable intake, food security and family relationships: a community-based participatory research study. Journal of Community Health,</w:t>
                            </w:r>
                            <w:r>
                              <w:rPr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Pr="00C27E0D">
                              <w:rPr>
                                <w:sz w:val="12"/>
                                <w:szCs w:val="12"/>
                              </w:rPr>
                              <w:t xml:space="preserve">37(4), 874–881. </w:t>
                            </w:r>
                            <w:hyperlink r:id="rId4" w:history="1">
                              <w:r w:rsidRPr="0037527A">
                                <w:rPr>
                                  <w:rStyle w:val="Hyperlink"/>
                                  <w:sz w:val="12"/>
                                  <w:szCs w:val="12"/>
                                </w:rPr>
                                <w:t>https://doi.org/10.1007/s10900-011-9522-z</w:t>
                              </w:r>
                            </w:hyperlink>
                            <w:r>
                              <w:rPr>
                                <w:sz w:val="12"/>
                                <w:szCs w:val="12"/>
                              </w:rPr>
                              <w:t>; Donovan, G. H., &amp;</w:t>
                            </w:r>
                            <w:r w:rsidRPr="00C27E0D">
                              <w:rPr>
                                <w:sz w:val="12"/>
                                <w:szCs w:val="12"/>
                              </w:rPr>
                              <w:t xml:space="preserve"> </w:t>
                            </w:r>
                            <w:proofErr w:type="spellStart"/>
                            <w:r w:rsidRPr="00C27E0D">
                              <w:rPr>
                                <w:sz w:val="12"/>
                                <w:szCs w:val="12"/>
                              </w:rPr>
                              <w:t>Prestemon</w:t>
                            </w:r>
                            <w:proofErr w:type="spellEnd"/>
                            <w:r w:rsidRPr="00C27E0D">
                              <w:rPr>
                                <w:sz w:val="12"/>
                                <w:szCs w:val="12"/>
                              </w:rPr>
                              <w:t>, J. P. (2010). The effect of trees on crime in Portland, Oregon. Environment</w:t>
                            </w:r>
                            <w:r>
                              <w:rPr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Pr="00C27E0D">
                              <w:rPr>
                                <w:sz w:val="12"/>
                                <w:szCs w:val="12"/>
                              </w:rPr>
                              <w:t xml:space="preserve">and Behavior, 44(1), 3–30. </w:t>
                            </w:r>
                            <w:hyperlink r:id="rId5" w:history="1">
                              <w:r w:rsidRPr="0037527A">
                                <w:rPr>
                                  <w:rStyle w:val="Hyperlink"/>
                                  <w:sz w:val="12"/>
                                  <w:szCs w:val="12"/>
                                </w:rPr>
                                <w:t>https://doi.org/10.1177/0013916510383238</w:t>
                              </w:r>
                            </w:hyperlink>
                            <w:r>
                              <w:rPr>
                                <w:sz w:val="12"/>
                                <w:szCs w:val="12"/>
                              </w:rPr>
                              <w:t xml:space="preserve">;  </w:t>
                            </w:r>
                            <w:r w:rsidRPr="00C27E0D">
                              <w:rPr>
                                <w:sz w:val="12"/>
                                <w:szCs w:val="12"/>
                              </w:rPr>
                              <w:t xml:space="preserve">Donovan, G. H., </w:t>
                            </w:r>
                            <w:proofErr w:type="spellStart"/>
                            <w:r w:rsidRPr="00C27E0D">
                              <w:rPr>
                                <w:sz w:val="12"/>
                                <w:szCs w:val="12"/>
                              </w:rPr>
                              <w:t>Prestemon</w:t>
                            </w:r>
                            <w:proofErr w:type="spellEnd"/>
                            <w:r w:rsidRPr="00C27E0D">
                              <w:rPr>
                                <w:sz w:val="12"/>
                                <w:szCs w:val="12"/>
                              </w:rPr>
                              <w:t xml:space="preserve">, J. P., </w:t>
                            </w:r>
                            <w:proofErr w:type="spellStart"/>
                            <w:r w:rsidRPr="00C27E0D">
                              <w:rPr>
                                <w:sz w:val="12"/>
                                <w:szCs w:val="12"/>
                              </w:rPr>
                              <w:t>Gatziolis</w:t>
                            </w:r>
                            <w:proofErr w:type="spellEnd"/>
                            <w:r w:rsidRPr="00C27E0D">
                              <w:rPr>
                                <w:sz w:val="12"/>
                                <w:szCs w:val="12"/>
                              </w:rPr>
                              <w:t>, D., Michae</w:t>
                            </w:r>
                            <w:r>
                              <w:rPr>
                                <w:sz w:val="12"/>
                                <w:szCs w:val="12"/>
                              </w:rPr>
                              <w:t>l, Y. L., Kaminski, A. R., &amp;</w:t>
                            </w:r>
                            <w:r w:rsidRPr="00C27E0D">
                              <w:rPr>
                                <w:sz w:val="12"/>
                                <w:szCs w:val="12"/>
                              </w:rPr>
                              <w:t xml:space="preserve"> </w:t>
                            </w:r>
                            <w:proofErr w:type="spellStart"/>
                            <w:r w:rsidRPr="00C27E0D">
                              <w:rPr>
                                <w:sz w:val="12"/>
                                <w:szCs w:val="12"/>
                              </w:rPr>
                              <w:t>Dadvand</w:t>
                            </w:r>
                            <w:proofErr w:type="spellEnd"/>
                            <w:r w:rsidRPr="00C27E0D">
                              <w:rPr>
                                <w:sz w:val="12"/>
                                <w:szCs w:val="12"/>
                              </w:rPr>
                              <w:t>, P. (2022). The</w:t>
                            </w:r>
                            <w:r>
                              <w:rPr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Pr="00C27E0D">
                              <w:rPr>
                                <w:sz w:val="12"/>
                                <w:szCs w:val="12"/>
                              </w:rPr>
                              <w:t>association between tree planting and mortality: A natural experiment and cost-benefit analysis.</w:t>
                            </w:r>
                            <w:r>
                              <w:rPr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Pr="00C27E0D">
                              <w:rPr>
                                <w:sz w:val="12"/>
                                <w:szCs w:val="12"/>
                              </w:rPr>
                              <w:t xml:space="preserve">Environment International, 170, 107609. </w:t>
                            </w:r>
                            <w:hyperlink r:id="rId6" w:history="1">
                              <w:r w:rsidRPr="0037527A">
                                <w:rPr>
                                  <w:rStyle w:val="Hyperlink"/>
                                  <w:sz w:val="12"/>
                                  <w:szCs w:val="12"/>
                                </w:rPr>
                                <w:t>https://doi.org/10.1016/j.envint.2022.10760</w:t>
                              </w:r>
                            </w:hyperlink>
                            <w:r>
                              <w:rPr>
                                <w:sz w:val="12"/>
                                <w:szCs w:val="12"/>
                              </w:rPr>
                              <w:t xml:space="preserve">; </w:t>
                            </w:r>
                            <w:r w:rsidRPr="00C27E0D">
                              <w:rPr>
                                <w:sz w:val="12"/>
                                <w:szCs w:val="12"/>
                              </w:rPr>
                              <w:t>Munro, K. (2013, July 11). The Many Benefits of Community Gardens. Greenleaf Communities.</w:t>
                            </w:r>
                            <w:r>
                              <w:rPr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Pr="00C27E0D">
                              <w:rPr>
                                <w:sz w:val="12"/>
                                <w:szCs w:val="12"/>
                              </w:rPr>
                              <w:t>https://www.greenleafcommunities.org/</w:t>
                            </w:r>
                            <w:r>
                              <w:rPr>
                                <w:sz w:val="12"/>
                                <w:szCs w:val="12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0FCCFF5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8" type="#_x0000_t202" style="position:absolute;margin-left:-68.4pt;margin-top:25.2pt;width:784.2pt;height:40.2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" filled="f" stroked="f" strokeweight=".5pt">
                <v:textbox>
                  <w:txbxContent>
                    <w:p w14:paraId="79A557BF" w14:textId="77777777" w:rsidR="00C27E0D" w:rsidRPr="00C27E0D" w:rsidRDefault="00C27E0D" w:rsidP="00C27E0D">
                      <w:pPr>
                        <w:spacing w:after="0" w:line="240" w:lineRule="auto"/>
                        <w:rPr>
                          <w:sz w:val="12"/>
                          <w:szCs w:val="12"/>
                        </w:rPr>
                      </w:pPr>
                      <w:r w:rsidRPr="00C27E0D">
                        <w:rPr>
                          <w:sz w:val="12"/>
                          <w:szCs w:val="12"/>
                        </w:rPr>
                        <w:t xml:space="preserve">Carney, P. A., Hamada, J. L., </w:t>
                      </w:r>
                      <w:proofErr w:type="spellStart"/>
                      <w:r w:rsidRPr="00C27E0D">
                        <w:rPr>
                          <w:sz w:val="12"/>
                          <w:szCs w:val="12"/>
                        </w:rPr>
                        <w:t>Rdesinski</w:t>
                      </w:r>
                      <w:proofErr w:type="spellEnd"/>
                      <w:r w:rsidRPr="00C27E0D">
                        <w:rPr>
                          <w:sz w:val="12"/>
                          <w:szCs w:val="12"/>
                        </w:rPr>
                        <w:t xml:space="preserve">, R. E., </w:t>
                      </w:r>
                      <w:proofErr w:type="spellStart"/>
                      <w:r w:rsidRPr="00C27E0D">
                        <w:rPr>
                          <w:sz w:val="12"/>
                          <w:szCs w:val="12"/>
                        </w:rPr>
                        <w:t>Sprager</w:t>
                      </w:r>
                      <w:proofErr w:type="spellEnd"/>
                      <w:r w:rsidRPr="00C27E0D">
                        <w:rPr>
                          <w:sz w:val="12"/>
                          <w:szCs w:val="12"/>
                        </w:rPr>
                        <w:t>, L., Nichols, K. R., Liu, B. Y., Pelayo, J., Sanchez, M.,</w:t>
                      </w:r>
                      <w:r>
                        <w:rPr>
                          <w:sz w:val="12"/>
                          <w:szCs w:val="12"/>
                        </w:rPr>
                        <w:t xml:space="preserve"> </w:t>
                      </w:r>
                      <w:r w:rsidRPr="00C27E0D">
                        <w:rPr>
                          <w:sz w:val="12"/>
                          <w:szCs w:val="12"/>
                        </w:rPr>
                        <w:t>&amp;amp; Shannon, J. (2011). Impact of a community gardening project on vegetable intake, food security and family relationships: a community-based participatory research study. Journal of Community Health,</w:t>
                      </w:r>
                      <w:r>
                        <w:rPr>
                          <w:sz w:val="12"/>
                          <w:szCs w:val="12"/>
                        </w:rPr>
                        <w:t xml:space="preserve"> </w:t>
                      </w:r>
                      <w:r w:rsidRPr="00C27E0D">
                        <w:rPr>
                          <w:sz w:val="12"/>
                          <w:szCs w:val="12"/>
                        </w:rPr>
                        <w:t xml:space="preserve">37(4), 874–881. </w:t>
                      </w:r>
                      <w:hyperlink r:id="rId7" w:history="1">
                        <w:r w:rsidRPr="0037527A">
                          <w:rPr>
                            <w:rStyle w:val="Hyperlink"/>
                            <w:sz w:val="12"/>
                            <w:szCs w:val="12"/>
                          </w:rPr>
                          <w:t>https://doi.org/10.1007/s10900-011-9522-z</w:t>
                        </w:r>
                      </w:hyperlink>
                      <w:r>
                        <w:rPr>
                          <w:sz w:val="12"/>
                          <w:szCs w:val="12"/>
                        </w:rPr>
                        <w:t>; Donovan, G. H., &amp;</w:t>
                      </w:r>
                      <w:r w:rsidRPr="00C27E0D">
                        <w:rPr>
                          <w:sz w:val="12"/>
                          <w:szCs w:val="12"/>
                        </w:rPr>
                        <w:t xml:space="preserve"> </w:t>
                      </w:r>
                      <w:proofErr w:type="spellStart"/>
                      <w:r w:rsidRPr="00C27E0D">
                        <w:rPr>
                          <w:sz w:val="12"/>
                          <w:szCs w:val="12"/>
                        </w:rPr>
                        <w:t>Prestemon</w:t>
                      </w:r>
                      <w:proofErr w:type="spellEnd"/>
                      <w:r w:rsidRPr="00C27E0D">
                        <w:rPr>
                          <w:sz w:val="12"/>
                          <w:szCs w:val="12"/>
                        </w:rPr>
                        <w:t>, J. P. (2010). The effect of trees on crime in Portland, Oregon. Environment</w:t>
                      </w:r>
                      <w:r>
                        <w:rPr>
                          <w:sz w:val="12"/>
                          <w:szCs w:val="12"/>
                        </w:rPr>
                        <w:t xml:space="preserve"> </w:t>
                      </w:r>
                      <w:r w:rsidRPr="00C27E0D">
                        <w:rPr>
                          <w:sz w:val="12"/>
                          <w:szCs w:val="12"/>
                        </w:rPr>
                        <w:t xml:space="preserve">and Behavior, 44(1), 3–30. </w:t>
                      </w:r>
                      <w:hyperlink r:id="rId8" w:history="1">
                        <w:r w:rsidRPr="0037527A">
                          <w:rPr>
                            <w:rStyle w:val="Hyperlink"/>
                            <w:sz w:val="12"/>
                            <w:szCs w:val="12"/>
                          </w:rPr>
                          <w:t>https://doi.org/10.1177/0013916510383238</w:t>
                        </w:r>
                      </w:hyperlink>
                      <w:r>
                        <w:rPr>
                          <w:sz w:val="12"/>
                          <w:szCs w:val="12"/>
                        </w:rPr>
                        <w:t xml:space="preserve">;  </w:t>
                      </w:r>
                      <w:r w:rsidRPr="00C27E0D">
                        <w:rPr>
                          <w:sz w:val="12"/>
                          <w:szCs w:val="12"/>
                        </w:rPr>
                        <w:t xml:space="preserve">Donovan, G. H., </w:t>
                      </w:r>
                      <w:proofErr w:type="spellStart"/>
                      <w:r w:rsidRPr="00C27E0D">
                        <w:rPr>
                          <w:sz w:val="12"/>
                          <w:szCs w:val="12"/>
                        </w:rPr>
                        <w:t>Prestemon</w:t>
                      </w:r>
                      <w:proofErr w:type="spellEnd"/>
                      <w:r w:rsidRPr="00C27E0D">
                        <w:rPr>
                          <w:sz w:val="12"/>
                          <w:szCs w:val="12"/>
                        </w:rPr>
                        <w:t xml:space="preserve">, J. P., </w:t>
                      </w:r>
                      <w:proofErr w:type="spellStart"/>
                      <w:r w:rsidRPr="00C27E0D">
                        <w:rPr>
                          <w:sz w:val="12"/>
                          <w:szCs w:val="12"/>
                        </w:rPr>
                        <w:t>Gatziolis</w:t>
                      </w:r>
                      <w:proofErr w:type="spellEnd"/>
                      <w:r w:rsidRPr="00C27E0D">
                        <w:rPr>
                          <w:sz w:val="12"/>
                          <w:szCs w:val="12"/>
                        </w:rPr>
                        <w:t>, D., Michae</w:t>
                      </w:r>
                      <w:r>
                        <w:rPr>
                          <w:sz w:val="12"/>
                          <w:szCs w:val="12"/>
                        </w:rPr>
                        <w:t>l, Y. L., Kaminski, A. R., &amp;</w:t>
                      </w:r>
                      <w:r w:rsidRPr="00C27E0D">
                        <w:rPr>
                          <w:sz w:val="12"/>
                          <w:szCs w:val="12"/>
                        </w:rPr>
                        <w:t xml:space="preserve"> </w:t>
                      </w:r>
                      <w:proofErr w:type="spellStart"/>
                      <w:r w:rsidRPr="00C27E0D">
                        <w:rPr>
                          <w:sz w:val="12"/>
                          <w:szCs w:val="12"/>
                        </w:rPr>
                        <w:t>Dadvand</w:t>
                      </w:r>
                      <w:proofErr w:type="spellEnd"/>
                      <w:r w:rsidRPr="00C27E0D">
                        <w:rPr>
                          <w:sz w:val="12"/>
                          <w:szCs w:val="12"/>
                        </w:rPr>
                        <w:t>, P. (2022). The</w:t>
                      </w:r>
                      <w:r>
                        <w:rPr>
                          <w:sz w:val="12"/>
                          <w:szCs w:val="12"/>
                        </w:rPr>
                        <w:t xml:space="preserve"> </w:t>
                      </w:r>
                      <w:r w:rsidRPr="00C27E0D">
                        <w:rPr>
                          <w:sz w:val="12"/>
                          <w:szCs w:val="12"/>
                        </w:rPr>
                        <w:t>association between tree planting and mortality: A natural experiment and cost-benefit analysis.</w:t>
                      </w:r>
                      <w:r>
                        <w:rPr>
                          <w:sz w:val="12"/>
                          <w:szCs w:val="12"/>
                        </w:rPr>
                        <w:t xml:space="preserve"> </w:t>
                      </w:r>
                      <w:r w:rsidRPr="00C27E0D">
                        <w:rPr>
                          <w:sz w:val="12"/>
                          <w:szCs w:val="12"/>
                        </w:rPr>
                        <w:t xml:space="preserve">Environment International, 170, 107609. </w:t>
                      </w:r>
                      <w:hyperlink r:id="rId9" w:history="1">
                        <w:r w:rsidRPr="0037527A">
                          <w:rPr>
                            <w:rStyle w:val="Hyperlink"/>
                            <w:sz w:val="12"/>
                            <w:szCs w:val="12"/>
                          </w:rPr>
                          <w:t>https://doi.org/10.1016/j.envint.2022.10760</w:t>
                        </w:r>
                      </w:hyperlink>
                      <w:r>
                        <w:rPr>
                          <w:sz w:val="12"/>
                          <w:szCs w:val="12"/>
                        </w:rPr>
                        <w:t xml:space="preserve">; </w:t>
                      </w:r>
                      <w:r w:rsidRPr="00C27E0D">
                        <w:rPr>
                          <w:sz w:val="12"/>
                          <w:szCs w:val="12"/>
                        </w:rPr>
                        <w:t>Munro, K. (2013, July 11). The Many Benefits of Community Gardens. Greenleaf Communities.</w:t>
                      </w:r>
                      <w:r>
                        <w:rPr>
                          <w:sz w:val="12"/>
                          <w:szCs w:val="12"/>
                        </w:rPr>
                        <w:t xml:space="preserve"> </w:t>
                      </w:r>
                      <w:r w:rsidRPr="00C27E0D">
                        <w:rPr>
                          <w:sz w:val="12"/>
                          <w:szCs w:val="12"/>
                        </w:rPr>
                        <w:t>https://www.greenleafcommunities.org/</w:t>
                      </w:r>
                      <w:r>
                        <w:rPr>
                          <w:sz w:val="12"/>
                          <w:szCs w:val="12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3580C5A6" wp14:editId="6DEC34CF">
            <wp:simplePos x="0" y="0"/>
            <wp:positionH relativeFrom="margin">
              <wp:posOffset>-901065</wp:posOffset>
            </wp:positionH>
            <wp:positionV relativeFrom="margin">
              <wp:posOffset>-1638300</wp:posOffset>
            </wp:positionV>
            <wp:extent cx="10229215" cy="7848600"/>
            <wp:effectExtent l="0" t="0" r="635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 design (28)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29215" cy="7848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7456" behindDoc="0" locked="0" layoutInCell="1" allowOverlap="1" wp14:anchorId="533F0E62" wp14:editId="68D92A0D">
            <wp:simplePos x="0" y="0"/>
            <wp:positionH relativeFrom="margin">
              <wp:posOffset>-601345</wp:posOffset>
            </wp:positionH>
            <wp:positionV relativeFrom="margin">
              <wp:posOffset>-806450</wp:posOffset>
            </wp:positionV>
            <wp:extent cx="1765300" cy="586740"/>
            <wp:effectExtent l="0" t="0" r="6350" b="381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Green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5300" cy="586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814AE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6524376" wp14:editId="09D8D6E9">
                <wp:simplePos x="0" y="0"/>
                <wp:positionH relativeFrom="column">
                  <wp:posOffset>-899160</wp:posOffset>
                </wp:positionH>
                <wp:positionV relativeFrom="paragraph">
                  <wp:posOffset>-6858000</wp:posOffset>
                </wp:positionV>
                <wp:extent cx="10233660" cy="1270000"/>
                <wp:effectExtent l="0" t="0" r="15240" b="2540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33660" cy="1270000"/>
                        </a:xfrm>
                        <a:prstGeom prst="rect">
                          <a:avLst/>
                        </a:prstGeom>
                        <a:solidFill>
                          <a:srgbClr val="FFFFAF"/>
                        </a:solidFill>
                        <a:ln w="6350">
                          <a:solidFill>
                            <a:srgbClr val="0070C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46CBEA8" w14:textId="77777777" w:rsidR="00B746DB" w:rsidRPr="005D09BD" w:rsidRDefault="00B746DB" w:rsidP="006439AD">
                            <w:pPr>
                              <w:spacing w:after="0" w:line="240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color w:val="76923C" w:themeColor="accent3" w:themeShade="BF"/>
                                <w:sz w:val="96"/>
                                <w:szCs w:val="120"/>
                              </w:rPr>
                            </w:pPr>
                            <w:r w:rsidRPr="005D09BD">
                              <w:rPr>
                                <w:rFonts w:ascii="Century Gothic" w:hAnsi="Century Gothic"/>
                                <w:b/>
                                <w:color w:val="76923C" w:themeColor="accent3" w:themeShade="BF"/>
                                <w:sz w:val="96"/>
                                <w:szCs w:val="120"/>
                              </w:rPr>
                              <w:t>GREEN SPACES</w:t>
                            </w:r>
                          </w:p>
                          <w:p w14:paraId="7ADAEF45" w14:textId="77777777" w:rsidR="00B746DB" w:rsidRPr="005D09BD" w:rsidRDefault="00B746DB" w:rsidP="006439AD">
                            <w:pPr>
                              <w:spacing w:after="0" w:line="240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color w:val="76923C" w:themeColor="accent3" w:themeShade="BF"/>
                                <w:sz w:val="52"/>
                                <w:szCs w:val="56"/>
                              </w:rPr>
                            </w:pPr>
                            <w:r w:rsidRPr="005D09BD">
                              <w:rPr>
                                <w:rFonts w:ascii="Century Gothic" w:hAnsi="Century Gothic"/>
                                <w:b/>
                                <w:color w:val="76923C" w:themeColor="accent3" w:themeShade="BF"/>
                                <w:sz w:val="52"/>
                                <w:szCs w:val="56"/>
                              </w:rPr>
                              <w:t>Building stronger and happier communities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524376" id="Text Box 2" o:spid="_x0000_s1029" type="#_x0000_t202" style="position:absolute;margin-left:-70.8pt;margin-top:-540pt;width:805.8pt;height:10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" fillcolor="#ffffaf" strokecolor="#0070c0" strokeweight=".5pt">
                <v:textbox>
                  <w:txbxContent>
                    <w:p w14:paraId="246CBEA8" w14:textId="77777777" w:rsidR="00B746DB" w:rsidRPr="005D09BD" w:rsidRDefault="00B746DB" w:rsidP="006439AD">
                      <w:pPr>
                        <w:spacing w:after="0" w:line="240" w:lineRule="auto"/>
                        <w:jc w:val="center"/>
                        <w:rPr>
                          <w:rFonts w:ascii="Century Gothic" w:hAnsi="Century Gothic"/>
                          <w:b/>
                          <w:color w:val="76923C" w:themeColor="accent3" w:themeShade="BF"/>
                          <w:sz w:val="96"/>
                          <w:szCs w:val="120"/>
                        </w:rPr>
                      </w:pPr>
                      <w:r w:rsidRPr="005D09BD">
                        <w:rPr>
                          <w:rFonts w:ascii="Century Gothic" w:hAnsi="Century Gothic"/>
                          <w:b/>
                          <w:color w:val="76923C" w:themeColor="accent3" w:themeShade="BF"/>
                          <w:sz w:val="96"/>
                          <w:szCs w:val="120"/>
                        </w:rPr>
                        <w:t>GREEN SPACES</w:t>
                      </w:r>
                    </w:p>
                    <w:p w14:paraId="7ADAEF45" w14:textId="77777777" w:rsidR="00B746DB" w:rsidRPr="005D09BD" w:rsidRDefault="00B746DB" w:rsidP="006439AD">
                      <w:pPr>
                        <w:spacing w:after="0" w:line="240" w:lineRule="auto"/>
                        <w:jc w:val="center"/>
                        <w:rPr>
                          <w:rFonts w:ascii="Century Gothic" w:hAnsi="Century Gothic"/>
                          <w:b/>
                          <w:color w:val="76923C" w:themeColor="accent3" w:themeShade="BF"/>
                          <w:sz w:val="52"/>
                          <w:szCs w:val="56"/>
                        </w:rPr>
                      </w:pPr>
                      <w:r w:rsidRPr="005D09BD">
                        <w:rPr>
                          <w:rFonts w:ascii="Century Gothic" w:hAnsi="Century Gothic"/>
                          <w:b/>
                          <w:color w:val="76923C" w:themeColor="accent3" w:themeShade="BF"/>
                          <w:sz w:val="52"/>
                          <w:szCs w:val="56"/>
                        </w:rPr>
                        <w:t>Building stronger and happier communities</w:t>
                      </w:r>
                    </w:p>
                  </w:txbxContent>
                </v:textbox>
              </v:shape>
            </w:pict>
          </mc:Fallback>
        </mc:AlternateContent>
      </w:r>
      <w:r w:rsidR="000C61C7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7AFA910" wp14:editId="525BE4EE">
                <wp:simplePos x="0" y="0"/>
                <wp:positionH relativeFrom="column">
                  <wp:posOffset>5672109</wp:posOffset>
                </wp:positionH>
                <wp:positionV relativeFrom="paragraph">
                  <wp:posOffset>-2916786</wp:posOffset>
                </wp:positionV>
                <wp:extent cx="2547620" cy="1059815"/>
                <wp:effectExtent l="0" t="0" r="5080" b="6985"/>
                <wp:wrapNone/>
                <wp:docPr id="6" name="Rounded 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7620" cy="1059815"/>
                        </a:xfrm>
                        <a:prstGeom prst="roundRect">
                          <a:avLst/>
                        </a:prstGeom>
                        <a:solidFill>
                          <a:srgbClr val="FFFFA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5A59FD7" w14:textId="6C953B20" w:rsidR="0023437E" w:rsidRPr="000C61C7" w:rsidRDefault="0023437E" w:rsidP="005D09BD">
                            <w:pPr>
                              <w:spacing w:after="0" w:line="240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0C61C7">
                              <w:rPr>
                                <w:rFonts w:ascii="Century Gothic" w:hAnsi="Century Gothic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Neighborhoods with homes facing trees and greenery experience lower crime rate</w:t>
                            </w:r>
                            <w:r w:rsidR="00D814AE">
                              <w:rPr>
                                <w:rFonts w:ascii="Century Gothic" w:hAnsi="Century Gothic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s</w:t>
                            </w:r>
                            <w:r w:rsidRPr="000C61C7">
                              <w:rPr>
                                <w:rFonts w:ascii="Century Gothic" w:hAnsi="Century Gothic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7AFA910" id="Rounded Rectangle 6" o:spid="_x0000_s1030" style="position:absolute;margin-left:446.6pt;margin-top:-229.65pt;width:200.6pt;height:83.4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" fillcolor="#ffffaf" stroked="f" strokeweight="2pt">
                <v:textbox>
                  <w:txbxContent>
                    <w:p w14:paraId="45A59FD7" w14:textId="6C953B20" w:rsidR="0023437E" w:rsidRPr="000C61C7" w:rsidRDefault="0023437E" w:rsidP="005D09BD">
                      <w:pPr>
                        <w:spacing w:after="0" w:line="240" w:lineRule="auto"/>
                        <w:jc w:val="center"/>
                        <w:rPr>
                          <w:rFonts w:ascii="Century Gothic" w:hAnsi="Century Gothic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0C61C7">
                        <w:rPr>
                          <w:rFonts w:ascii="Century Gothic" w:hAnsi="Century Gothic"/>
                          <w:b/>
                          <w:color w:val="000000" w:themeColor="text1"/>
                          <w:sz w:val="28"/>
                          <w:szCs w:val="28"/>
                        </w:rPr>
                        <w:t>Neighborhoods with homes facing trees and greenery experience lower crime rate</w:t>
                      </w:r>
                      <w:r w:rsidR="00D814AE">
                        <w:rPr>
                          <w:rFonts w:ascii="Century Gothic" w:hAnsi="Century Gothic"/>
                          <w:b/>
                          <w:color w:val="000000" w:themeColor="text1"/>
                          <w:sz w:val="28"/>
                          <w:szCs w:val="28"/>
                        </w:rPr>
                        <w:t>s</w:t>
                      </w:r>
                      <w:r w:rsidRPr="000C61C7">
                        <w:rPr>
                          <w:rFonts w:ascii="Century Gothic" w:hAnsi="Century Gothic"/>
                          <w:b/>
                          <w:color w:val="000000" w:themeColor="text1"/>
                          <w:sz w:val="28"/>
                          <w:szCs w:val="28"/>
                        </w:rPr>
                        <w:t>.</w:t>
                      </w:r>
                    </w:p>
                  </w:txbxContent>
                </v:textbox>
              </v:roundrect>
            </w:pict>
          </mc:Fallback>
        </mc:AlternateContent>
      </w:r>
      <w:r w:rsidR="000C61C7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70BF641" wp14:editId="1237618C">
                <wp:simplePos x="0" y="0"/>
                <wp:positionH relativeFrom="column">
                  <wp:posOffset>732790</wp:posOffset>
                </wp:positionH>
                <wp:positionV relativeFrom="paragraph">
                  <wp:posOffset>-4766310</wp:posOffset>
                </wp:positionV>
                <wp:extent cx="2680335" cy="1059815"/>
                <wp:effectExtent l="0" t="0" r="5715" b="698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80335" cy="1059815"/>
                        </a:xfrm>
                        <a:prstGeom prst="roundRect">
                          <a:avLst/>
                        </a:prstGeom>
                        <a:solidFill>
                          <a:srgbClr val="FFFFAF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B4BCB3" w14:textId="77777777" w:rsidR="005D09BD" w:rsidRPr="00C27E0D" w:rsidRDefault="00C27E0D" w:rsidP="00C27E0D">
                            <w:pPr>
                              <w:spacing w:after="0" w:line="240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sz w:val="28"/>
                              </w:rPr>
                            </w:pPr>
                            <w:r w:rsidRPr="00C27E0D">
                              <w:rPr>
                                <w:rFonts w:ascii="Century Gothic" w:hAnsi="Century Gothic"/>
                                <w:b/>
                                <w:sz w:val="28"/>
                              </w:rPr>
                              <w:t>Tree planting is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sz w:val="28"/>
                              </w:rPr>
                              <w:t xml:space="preserve"> </w:t>
                            </w:r>
                            <w:r w:rsidRPr="00C27E0D">
                              <w:rPr>
                                <w:rFonts w:ascii="Century Gothic" w:hAnsi="Century Gothic"/>
                                <w:b/>
                                <w:sz w:val="28"/>
                              </w:rPr>
                              <w:t>associate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sz w:val="28"/>
                              </w:rPr>
                              <w:t>d</w:t>
                            </w:r>
                            <w:r w:rsidRPr="00C27E0D">
                              <w:rPr>
                                <w:rFonts w:ascii="Century Gothic" w:hAnsi="Century Gothic"/>
                                <w:b/>
                                <w:sz w:val="28"/>
                              </w:rPr>
                              <w:t xml:space="preserve"> with increased voter turnout in primary and general elections.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70BF641" id="Text Box 8" o:spid="_x0000_s1031" style="position:absolute;margin-left:57.7pt;margin-top:-375.3pt;width:211.05pt;height:83.4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" fillcolor="#ffffaf" stroked="f" strokeweight=".5pt">
                <v:textbox>
                  <w:txbxContent>
                    <w:p w14:paraId="1BB4BCB3" w14:textId="77777777" w:rsidR="005D09BD" w:rsidRPr="00C27E0D" w:rsidRDefault="00C27E0D" w:rsidP="00C27E0D">
                      <w:pPr>
                        <w:spacing w:after="0" w:line="240" w:lineRule="auto"/>
                        <w:jc w:val="center"/>
                        <w:rPr>
                          <w:rFonts w:ascii="Century Gothic" w:hAnsi="Century Gothic"/>
                          <w:b/>
                          <w:sz w:val="28"/>
                        </w:rPr>
                      </w:pPr>
                      <w:r w:rsidRPr="00C27E0D">
                        <w:rPr>
                          <w:rFonts w:ascii="Century Gothic" w:hAnsi="Century Gothic"/>
                          <w:b/>
                          <w:sz w:val="28"/>
                        </w:rPr>
                        <w:t>Tree planting is</w:t>
                      </w:r>
                      <w:r>
                        <w:rPr>
                          <w:rFonts w:ascii="Century Gothic" w:hAnsi="Century Gothic"/>
                          <w:b/>
                          <w:sz w:val="28"/>
                        </w:rPr>
                        <w:t xml:space="preserve"> </w:t>
                      </w:r>
                      <w:r w:rsidRPr="00C27E0D">
                        <w:rPr>
                          <w:rFonts w:ascii="Century Gothic" w:hAnsi="Century Gothic"/>
                          <w:b/>
                          <w:sz w:val="28"/>
                        </w:rPr>
                        <w:t>associate</w:t>
                      </w:r>
                      <w:r>
                        <w:rPr>
                          <w:rFonts w:ascii="Century Gothic" w:hAnsi="Century Gothic"/>
                          <w:b/>
                          <w:sz w:val="28"/>
                        </w:rPr>
                        <w:t>d</w:t>
                      </w:r>
                      <w:r w:rsidRPr="00C27E0D">
                        <w:rPr>
                          <w:rFonts w:ascii="Century Gothic" w:hAnsi="Century Gothic"/>
                          <w:b/>
                          <w:sz w:val="28"/>
                        </w:rPr>
                        <w:t xml:space="preserve"> with increased voter turnout in primary and general elections.</w:t>
                      </w:r>
                    </w:p>
                  </w:txbxContent>
                </v:textbox>
              </v:roundrect>
            </w:pict>
          </mc:Fallback>
        </mc:AlternateContent>
      </w:r>
    </w:p>
    <w:sectPr w:rsidR="00DD0B30" w:rsidSect="00B746DB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746DB"/>
    <w:rsid w:val="00061AA7"/>
    <w:rsid w:val="000C61C7"/>
    <w:rsid w:val="00181486"/>
    <w:rsid w:val="001B59D1"/>
    <w:rsid w:val="001E1E54"/>
    <w:rsid w:val="0023437E"/>
    <w:rsid w:val="0026318E"/>
    <w:rsid w:val="00353613"/>
    <w:rsid w:val="005C78C9"/>
    <w:rsid w:val="005D09BD"/>
    <w:rsid w:val="0060520F"/>
    <w:rsid w:val="006439AD"/>
    <w:rsid w:val="0077683F"/>
    <w:rsid w:val="00932CF2"/>
    <w:rsid w:val="009E07D5"/>
    <w:rsid w:val="00AA46C2"/>
    <w:rsid w:val="00B746DB"/>
    <w:rsid w:val="00C27E0D"/>
    <w:rsid w:val="00D3067F"/>
    <w:rsid w:val="00D814AE"/>
    <w:rsid w:val="00DA1097"/>
    <w:rsid w:val="00DD0B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6D1A4E5"/>
  <w15:docId w15:val="{1C942AA5-9BAB-426C-B9C2-7D2CC6271B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46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46DB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C27E0D"/>
    <w:rPr>
      <w:color w:val="0000FF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5C78C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C78C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C78C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C78C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C78C9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D814AE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99527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oi.org/10.1177/0013916510383238" TargetMode="Externa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https://doi.org/10.1007/s10900-011-9522-z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customXml" Target="../customXml/item3.xml"/><Relationship Id="rId1" Type="http://schemas.openxmlformats.org/officeDocument/2006/relationships/styles" Target="styles.xml"/><Relationship Id="rId6" Type="http://schemas.openxmlformats.org/officeDocument/2006/relationships/hyperlink" Target="https://doi.org/10.1016/j.envint.2022.10760" TargetMode="External"/><Relationship Id="rId11" Type="http://schemas.openxmlformats.org/officeDocument/2006/relationships/image" Target="media/image2.png"/><Relationship Id="rId5" Type="http://schemas.openxmlformats.org/officeDocument/2006/relationships/hyperlink" Target="https://doi.org/10.1177/0013916510383238" TargetMode="External"/><Relationship Id="rId15" Type="http://schemas.openxmlformats.org/officeDocument/2006/relationships/customXml" Target="../customXml/item2.xml"/><Relationship Id="rId10" Type="http://schemas.openxmlformats.org/officeDocument/2006/relationships/image" Target="media/image1.png"/><Relationship Id="rId4" Type="http://schemas.openxmlformats.org/officeDocument/2006/relationships/hyperlink" Target="https://doi.org/10.1007/s10900-011-9522-z" TargetMode="External"/><Relationship Id="rId9" Type="http://schemas.openxmlformats.org/officeDocument/2006/relationships/hyperlink" Target="https://doi.org/10.1016/j.envint.2022.10760" TargetMode="External"/><Relationship Id="rId14" Type="http://schemas.openxmlformats.org/officeDocument/2006/relationships/customXml" Target="../customXml/item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CB81A36B949A643AC3D625B2786FFCF" ma:contentTypeVersion="13" ma:contentTypeDescription="Create a new document." ma:contentTypeScope="" ma:versionID="a75b0441d95d582c2526cbf923b9b38e">
  <xsd:schema xmlns:xsd="http://www.w3.org/2001/XMLSchema" xmlns:xs="http://www.w3.org/2001/XMLSchema" xmlns:p="http://schemas.microsoft.com/office/2006/metadata/properties" xmlns:ns2="5888fc64-4fc7-4ce5-9021-c38539a81fbe" xmlns:ns3="7a12b634-940b-4d96-9c54-fcdcacdad810" targetNamespace="http://schemas.microsoft.com/office/2006/metadata/properties" ma:root="true" ma:fieldsID="fa61e826fe2ec073fb24331c393e8083" ns2:_="" ns3:_="">
    <xsd:import namespace="5888fc64-4fc7-4ce5-9021-c38539a81fbe"/>
    <xsd:import namespace="7a12b634-940b-4d96-9c54-fcdcacdad81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88fc64-4fc7-4ce5-9021-c38539a81fb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1d038b50-52dc-447d-ac2e-a29bd036c4b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a12b634-940b-4d96-9c54-fcdcacdad810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888fc64-4fc7-4ce5-9021-c38539a81fbe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64E584E6-2401-436D-8669-50248025D83D}"/>
</file>

<file path=customXml/itemProps2.xml><?xml version="1.0" encoding="utf-8"?>
<ds:datastoreItem xmlns:ds="http://schemas.openxmlformats.org/officeDocument/2006/customXml" ds:itemID="{9A3E89E1-7F18-4BE4-BD34-5832EB89033E}"/>
</file>

<file path=customXml/itemProps3.xml><?xml version="1.0" encoding="utf-8"?>
<ds:datastoreItem xmlns:ds="http://schemas.openxmlformats.org/officeDocument/2006/customXml" ds:itemID="{D91409E0-26F8-4C1B-8CFB-DD3CB0F79302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Cindy Thompson</dc:creator>
  <cp:lastModifiedBy>Baxter, Ian (ib7jx)</cp:lastModifiedBy>
  <cp:revision>5</cp:revision>
  <cp:lastPrinted>2025-01-06T19:00:00Z</cp:lastPrinted>
  <dcterms:created xsi:type="dcterms:W3CDTF">2025-01-23T19:53:00Z</dcterms:created>
  <dcterms:modified xsi:type="dcterms:W3CDTF">2025-01-28T15:36:00Z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0x0101005CB81A36B949A643AC3D625B2786FFCF</vt:lpwstr>
  </property>
</Properties>
</file>