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6D6C" w:rsidP="21DC2545" w:rsidRDefault="00BA1894" w14:paraId="7FBE21EA" w14:textId="5D2F6BB1">
      <w:pPr>
        <w:rPr>
          <w:rFonts w:ascii="Arial" w:hAnsi="Arial" w:eastAsia="Arial" w:cs="Arial"/>
          <w:b w:val="1"/>
          <w:bCs w:val="1"/>
          <w:color w:val="237D12" w:themeColor="text2" w:themeTint="FF" w:themeShade="FF"/>
        </w:rPr>
      </w:pPr>
      <w:r w:rsidRPr="21DC2545" w:rsidR="00BA1894">
        <w:rPr>
          <w:rFonts w:ascii="Arial" w:hAnsi="Arial" w:eastAsia="Arial" w:cs="Arial"/>
          <w:b w:val="1"/>
          <w:bCs w:val="1"/>
          <w:color w:val="237D12" w:themeColor="text2" w:themeTint="FF" w:themeShade="FF"/>
          <w:sz w:val="48"/>
          <w:szCs w:val="48"/>
        </w:rPr>
        <w:t>Insights and Considerations Learned from Workshop Participants</w:t>
      </w:r>
      <w:r w:rsidRPr="21DC2545" w:rsidR="34826603">
        <w:rPr>
          <w:rFonts w:ascii="Arial" w:hAnsi="Arial" w:eastAsia="Arial" w:cs="Arial"/>
          <w:b w:val="1"/>
          <w:bCs w:val="1"/>
          <w:color w:val="D9D9D9" w:themeColor="background1" w:themeTint="FF" w:themeShade="D9"/>
          <w:sz w:val="48"/>
          <w:szCs w:val="48"/>
        </w:rPr>
        <w:t xml:space="preserve"> </w:t>
      </w:r>
    </w:p>
    <w:p w:rsidR="009D6D6C" w:rsidP="21DC2545" w:rsidRDefault="00BA1894" w14:paraId="04DDB625" w14:textId="7A06DD05">
      <w:pPr>
        <w:rPr>
          <w:rFonts w:ascii="Arial" w:hAnsi="Arial" w:eastAsia="Arial" w:cs="Arial"/>
          <w:b w:val="1"/>
          <w:bCs w:val="1"/>
          <w:color w:val="237D12"/>
        </w:rPr>
      </w:pPr>
      <w:r w:rsidRPr="21DC2545" w:rsidR="00BA1894">
        <w:rPr>
          <w:rFonts w:ascii="Arial" w:hAnsi="Arial" w:eastAsia="Arial" w:cs="Arial"/>
          <w:b w:val="1"/>
          <w:bCs w:val="1"/>
          <w:color w:val="227C12"/>
          <w:sz w:val="32"/>
          <w:szCs w:val="32"/>
        </w:rPr>
        <w:t>Key Community Connectors</w:t>
      </w:r>
      <w:r w:rsidRPr="21DC2545" w:rsidR="00BA1894">
        <w:rPr>
          <w:rFonts w:ascii="Arial" w:hAnsi="Arial" w:eastAsia="Arial" w:cs="Arial"/>
          <w:b w:val="1"/>
          <w:bCs w:val="1"/>
          <w:color w:val="227C12"/>
        </w:rPr>
        <w:t xml:space="preserve"> </w:t>
      </w:r>
    </w:p>
    <w:p w:rsidR="2374CA13" w:rsidP="21DC2545" w:rsidRDefault="2374CA13" w14:paraId="5A85D31F" w14:textId="4B3D55E0">
      <w:pPr>
        <w:rPr>
          <w:rFonts w:ascii="Arial" w:hAnsi="Arial" w:eastAsia="Arial" w:cs="Arial"/>
          <w:b w:val="1"/>
          <w:bCs w:val="1"/>
          <w:i w:val="1"/>
          <w:iCs w:val="1"/>
          <w:color w:val="227C12"/>
        </w:rPr>
      </w:pPr>
      <w:r w:rsidRPr="21DC2545" w:rsidR="2374CA13">
        <w:rPr>
          <w:rFonts w:ascii="Arial" w:hAnsi="Arial" w:eastAsia="Arial" w:cs="Arial"/>
          <w:b w:val="1"/>
          <w:bCs w:val="1"/>
          <w:i w:val="1"/>
          <w:iCs w:val="1"/>
          <w:color w:val="227C12"/>
        </w:rPr>
        <w:t xml:space="preserve">A </w:t>
      </w:r>
      <w:r w:rsidRPr="21DC2545" w:rsidR="2374CA13">
        <w:rPr>
          <w:rFonts w:ascii="Arial" w:hAnsi="Arial" w:eastAsia="Arial" w:cs="Arial"/>
          <w:b w:val="1"/>
          <w:bCs w:val="1"/>
          <w:i w:val="1"/>
          <w:iCs w:val="1"/>
          <w:color w:val="227C12"/>
        </w:rPr>
        <w:t>selection</w:t>
      </w:r>
      <w:r w:rsidRPr="21DC2545" w:rsidR="2374CA13">
        <w:rPr>
          <w:rFonts w:ascii="Arial" w:hAnsi="Arial" w:eastAsia="Arial" w:cs="Arial"/>
          <w:b w:val="1"/>
          <w:bCs w:val="1"/>
          <w:i w:val="1"/>
          <w:iCs w:val="1"/>
          <w:color w:val="227C12"/>
        </w:rPr>
        <w:t xml:space="preserve"> of observations f</w:t>
      </w:r>
      <w:r w:rsidRPr="21DC2545" w:rsidR="0D31CBA8">
        <w:rPr>
          <w:rFonts w:ascii="Arial" w:hAnsi="Arial" w:eastAsia="Arial" w:cs="Arial"/>
          <w:b w:val="1"/>
          <w:bCs w:val="1"/>
          <w:i w:val="1"/>
          <w:iCs w:val="1"/>
          <w:color w:val="227C12"/>
        </w:rPr>
        <w:t>rom</w:t>
      </w:r>
      <w:r w:rsidRPr="21DC2545" w:rsidR="2374CA13">
        <w:rPr>
          <w:rFonts w:ascii="Arial" w:hAnsi="Arial" w:eastAsia="Arial" w:cs="Arial"/>
          <w:b w:val="1"/>
          <w:bCs w:val="1"/>
          <w:i w:val="1"/>
          <w:iCs w:val="1"/>
          <w:color w:val="227C12"/>
        </w:rPr>
        <w:t xml:space="preserve"> co-design workshops</w:t>
      </w:r>
    </w:p>
    <w:p w:rsidR="009D6D6C" w:rsidP="0EBF610A" w:rsidRDefault="009D6D6C" w14:paraId="605CFBB3" w14:textId="2114A084">
      <w:pPr>
        <w:rPr>
          <w:rFonts w:ascii="Arial" w:hAnsi="Arial" w:eastAsia="Arial" w:cs="Arial"/>
          <w:b w:val="1"/>
          <w:bCs w:val="1"/>
          <w:color w:val="227C12"/>
        </w:rPr>
      </w:pPr>
      <w:r w:rsidRPr="0EBF610A" w:rsidR="00BA1894">
        <w:rPr>
          <w:rFonts w:ascii="Arial" w:hAnsi="Arial" w:eastAsia="Arial" w:cs="Arial"/>
          <w:b w:val="1"/>
          <w:bCs w:val="1"/>
          <w:color w:val="227C12"/>
        </w:rPr>
        <w:t>2024</w:t>
      </w:r>
    </w:p>
    <w:p w:rsidR="009D6D6C" w:rsidP="21DC2545" w:rsidRDefault="00BA1894" w14:paraId="6A30FBC9" w14:textId="77777777">
      <w:pPr>
        <w:rPr>
          <w:rFonts w:ascii="Arial" w:hAnsi="Arial" w:eastAsia="Arial" w:cs="Arial"/>
          <w:b w:val="1"/>
          <w:bCs w:val="1"/>
          <w:color w:val="237D12"/>
          <w:u w:val="single"/>
        </w:rPr>
      </w:pPr>
      <w:r w:rsidRPr="21DC2545" w:rsidR="00BA1894">
        <w:rPr>
          <w:rFonts w:ascii="Arial" w:hAnsi="Arial" w:eastAsia="Arial" w:cs="Arial"/>
          <w:b w:val="1"/>
          <w:bCs w:val="1"/>
          <w:color w:val="237D12" w:themeColor="text2" w:themeTint="FF" w:themeShade="FF"/>
          <w:u w:val="single"/>
        </w:rPr>
        <w:t>Workshop Description</w:t>
      </w:r>
    </w:p>
    <w:p w:rsidR="009D6D6C" w:rsidP="2924C6C0" w:rsidRDefault="00BA1894" w14:paraId="74382E39" w14:textId="65167974">
      <w:pPr>
        <w:shd w:val="clear" w:color="auto" w:fill="FFFFFF" w:themeFill="background1"/>
      </w:pPr>
      <w:r w:rsidR="00BA1894">
        <w:rPr/>
        <w:t xml:space="preserve">We asked participants about key community connectors used to inform communities about initiatives and how these methods are relevant to urban forestry initiatives. </w:t>
      </w:r>
      <w:r w:rsidR="0F84C5CD">
        <w:rPr/>
        <w:t xml:space="preserve">Community connectors can be </w:t>
      </w:r>
      <w:r w:rsidRPr="0EBF610A" w:rsidR="0F84C5CD">
        <w:rPr>
          <w:b w:val="1"/>
          <w:bCs w:val="1"/>
        </w:rPr>
        <w:t xml:space="preserve">neighborhood leaders, faith leaders, local government staff, and many other types of individuals </w:t>
      </w:r>
      <w:r w:rsidR="0F84C5CD">
        <w:rPr/>
        <w:t xml:space="preserve">that can </w:t>
      </w:r>
      <w:r w:rsidR="0F84C5CD">
        <w:rPr/>
        <w:t>be helpful in connecting resources to populations.</w:t>
      </w:r>
      <w:r w:rsidR="00BA1894">
        <w:rPr/>
        <w:t xml:space="preserve"> These types of individuals and organizations were </w:t>
      </w:r>
      <w:r w:rsidR="00BA1894">
        <w:rPr/>
        <w:t>identified</w:t>
      </w:r>
      <w:r w:rsidR="00BA1894">
        <w:rPr/>
        <w:t xml:space="preserve"> through all five sets of workshops. More specific community connectors from specific communities are </w:t>
      </w:r>
      <w:r w:rsidR="00BA1894">
        <w:rPr/>
        <w:t>identified</w:t>
      </w:r>
      <w:r w:rsidR="00BA1894">
        <w:rPr/>
        <w:t>, as well. While these insights can provide guidance concerning engaging with specific communities,</w:t>
      </w:r>
      <w:r w:rsidRPr="0EBF610A" w:rsidR="00BA1894">
        <w:rPr>
          <w:b w:val="1"/>
          <w:bCs w:val="1"/>
        </w:rPr>
        <w:t xml:space="preserve"> we recognize the limitation that a set of workshops is only a small </w:t>
      </w:r>
      <w:r w:rsidRPr="0EBF610A" w:rsidR="00BA1894">
        <w:rPr>
          <w:b w:val="1"/>
          <w:bCs w:val="1"/>
        </w:rPr>
        <w:t>component</w:t>
      </w:r>
      <w:r w:rsidRPr="0EBF610A" w:rsidR="00BA1894">
        <w:rPr>
          <w:b w:val="1"/>
          <w:bCs w:val="1"/>
        </w:rPr>
        <w:t xml:space="preserve"> of best practices in community engagement</w:t>
      </w:r>
      <w:r w:rsidR="00BA1894">
        <w:rPr/>
        <w:t xml:space="preserve">.  </w:t>
      </w:r>
    </w:p>
    <w:p w:rsidR="009D6D6C" w:rsidRDefault="009D6D6C" w14:paraId="2A52499A" w14:textId="77777777">
      <w:pPr>
        <w:rPr>
          <w:rFonts w:ascii="Arial" w:hAnsi="Arial" w:eastAsia="Arial" w:cs="Arial"/>
          <w:b/>
          <w:color w:val="237D12"/>
        </w:rPr>
      </w:pPr>
    </w:p>
    <w:p w:rsidR="009D6D6C" w:rsidP="21DC2545" w:rsidRDefault="00BA1894" w14:paraId="31DE6D64" w14:textId="77777777">
      <w:pPr>
        <w:rPr>
          <w:rFonts w:ascii="Arial" w:hAnsi="Arial" w:eastAsia="Arial" w:cs="Arial"/>
          <w:b w:val="1"/>
          <w:bCs w:val="1"/>
          <w:color w:val="237D12" w:themeColor="text2" w:themeTint="FF" w:themeShade="FF"/>
          <w:u w:val="single"/>
        </w:rPr>
      </w:pPr>
      <w:r w:rsidRPr="21DC2545" w:rsidR="00BA1894">
        <w:rPr>
          <w:rFonts w:ascii="Arial" w:hAnsi="Arial" w:eastAsia="Arial" w:cs="Arial"/>
          <w:b w:val="1"/>
          <w:bCs w:val="1"/>
          <w:color w:val="237D12" w:themeColor="text2" w:themeTint="FF" w:themeShade="FF"/>
          <w:u w:val="single"/>
        </w:rPr>
        <w:t>Considerations and Insights</w:t>
      </w:r>
    </w:p>
    <w:p w:rsidR="009D6D6C" w:rsidRDefault="00BA1894" w14:paraId="3D176401" w14:textId="77777777">
      <w:pPr>
        <w:shd w:val="clear" w:color="auto" w:fill="FFFFFF"/>
        <w:rPr>
          <w:rFonts w:ascii="Arial" w:hAnsi="Arial" w:eastAsia="Arial" w:cs="Arial"/>
          <w:i/>
        </w:rPr>
      </w:pPr>
      <w:r>
        <w:rPr>
          <w:rFonts w:ascii="Arial" w:hAnsi="Arial" w:eastAsia="Arial" w:cs="Arial"/>
          <w:b/>
          <w:i/>
          <w:u w:val="single"/>
        </w:rPr>
        <w:t>General</w:t>
      </w:r>
    </w:p>
    <w:p w:rsidR="009D6D6C" w:rsidRDefault="00BA1894" w14:paraId="45644990" w14:textId="77777777">
      <w:pPr>
        <w:numPr>
          <w:ilvl w:val="0"/>
          <w:numId w:val="41"/>
        </w:numPr>
        <w:spacing w:after="0"/>
        <w:ind w:left="1080"/>
        <w:rPr>
          <w:b/>
        </w:rPr>
      </w:pPr>
      <w:r>
        <w:rPr>
          <w:b/>
        </w:rPr>
        <w:t>Digital Advocates and Communicators</w:t>
      </w:r>
    </w:p>
    <w:p w:rsidR="009D6D6C" w:rsidRDefault="00BA1894" w14:paraId="3366F2EE" w14:textId="77777777">
      <w:pPr>
        <w:numPr>
          <w:ilvl w:val="0"/>
          <w:numId w:val="38"/>
        </w:numPr>
        <w:spacing w:after="0"/>
        <w:ind w:left="1800"/>
        <w:rPr/>
      </w:pPr>
      <w:r w:rsidR="00BA1894">
        <w:rPr/>
        <w:t xml:space="preserve">Individuals and organizations proficient in </w:t>
      </w:r>
      <w:r w:rsidR="00BA1894">
        <w:rPr/>
        <w:t>leveraging</w:t>
      </w:r>
      <w:r w:rsidR="00BA1894">
        <w:rPr/>
        <w:t xml:space="preserve"> </w:t>
      </w:r>
      <w:r w:rsidRPr="0EBF610A" w:rsidR="00BA1894">
        <w:rPr>
          <w:b w:val="1"/>
          <w:bCs w:val="1"/>
        </w:rPr>
        <w:t>digital platforms</w:t>
      </w:r>
      <w:r w:rsidR="00BA1894">
        <w:rPr/>
        <w:t xml:space="preserve"> like WhatsApp, Facebook, LinkedIn, and Instagram for community engagement. </w:t>
      </w:r>
    </w:p>
    <w:p w:rsidR="009D6D6C" w:rsidRDefault="00BA1894" w14:paraId="0F82513B" w14:textId="77777777">
      <w:pPr>
        <w:numPr>
          <w:ilvl w:val="0"/>
          <w:numId w:val="38"/>
        </w:numPr>
        <w:spacing w:after="0"/>
        <w:ind w:left="1800"/>
      </w:pPr>
      <w:r>
        <w:t xml:space="preserve">Nonprofits utilizing newsletters and social media groups to disseminate information and foster online community interaction. </w:t>
      </w:r>
    </w:p>
    <w:p w:rsidR="009D6D6C" w:rsidRDefault="00BA1894" w14:paraId="157303D3" w14:textId="77777777">
      <w:pPr>
        <w:numPr>
          <w:ilvl w:val="0"/>
          <w:numId w:val="20"/>
        </w:numPr>
        <w:spacing w:after="0"/>
        <w:ind w:left="1080"/>
        <w:rPr>
          <w:b/>
        </w:rPr>
      </w:pPr>
      <w:r>
        <w:rPr>
          <w:b/>
        </w:rPr>
        <w:t>Community Outreach Specialists</w:t>
      </w:r>
    </w:p>
    <w:p w:rsidR="009D6D6C" w:rsidRDefault="00BA1894" w14:paraId="786682C0" w14:textId="77777777">
      <w:pPr>
        <w:numPr>
          <w:ilvl w:val="0"/>
          <w:numId w:val="23"/>
        </w:numPr>
        <w:spacing w:after="0"/>
        <w:ind w:left="1800"/>
        <w:rPr/>
      </w:pPr>
      <w:r w:rsidR="00BA1894">
        <w:rPr/>
        <w:t xml:space="preserve">Trained staff and volunteers </w:t>
      </w:r>
      <w:r w:rsidRPr="0EBF610A" w:rsidR="00BA1894">
        <w:rPr>
          <w:b w:val="1"/>
          <w:bCs w:val="1"/>
        </w:rPr>
        <w:t>conducting in-person outreach</w:t>
      </w:r>
      <w:r w:rsidR="00BA1894">
        <w:rPr/>
        <w:t xml:space="preserve"> through presentations, door-to-door canvassing, and info booths at local events. </w:t>
      </w:r>
    </w:p>
    <w:p w:rsidR="009D6D6C" w:rsidRDefault="00BA1894" w14:paraId="0FB2FC6F" w14:textId="77777777">
      <w:pPr>
        <w:numPr>
          <w:ilvl w:val="0"/>
          <w:numId w:val="23"/>
        </w:numPr>
        <w:spacing w:after="0"/>
        <w:ind w:left="1800"/>
      </w:pPr>
      <w:r>
        <w:t xml:space="preserve">Organizations engaging with residents directly at neighborhood associations, markets, and theaters to share information and gather feedback. </w:t>
      </w:r>
    </w:p>
    <w:p w:rsidR="009D6D6C" w:rsidRDefault="00BA1894" w14:paraId="608AEB64" w14:textId="77777777">
      <w:pPr>
        <w:numPr>
          <w:ilvl w:val="0"/>
          <w:numId w:val="2"/>
        </w:numPr>
        <w:spacing w:after="0"/>
        <w:ind w:left="1080"/>
        <w:rPr>
          <w:b/>
        </w:rPr>
      </w:pPr>
      <w:r>
        <w:rPr>
          <w:b/>
        </w:rPr>
        <w:t>Traditional Media Connectors</w:t>
      </w:r>
    </w:p>
    <w:p w:rsidR="009D6D6C" w:rsidRDefault="00BA1894" w14:paraId="4C753697" w14:textId="77777777">
      <w:pPr>
        <w:numPr>
          <w:ilvl w:val="0"/>
          <w:numId w:val="24"/>
        </w:numPr>
        <w:spacing w:after="0"/>
        <w:ind w:left="1800"/>
        <w:rPr/>
      </w:pPr>
      <w:r w:rsidR="00BA1894">
        <w:rPr/>
        <w:t>Collaborations with l</w:t>
      </w:r>
      <w:r w:rsidRPr="0EBF610A" w:rsidR="00BA1894">
        <w:rPr>
          <w:b w:val="1"/>
          <w:bCs w:val="1"/>
        </w:rPr>
        <w:t>ocal newspapers, newsletters, and utility bill mailings</w:t>
      </w:r>
      <w:r w:rsidR="00BA1894">
        <w:rPr/>
        <w:t xml:space="preserve"> to reach diverse demographics. </w:t>
      </w:r>
    </w:p>
    <w:p w:rsidR="009D6D6C" w:rsidRDefault="00BA1894" w14:paraId="47BC21D6" w14:textId="77777777">
      <w:pPr>
        <w:numPr>
          <w:ilvl w:val="0"/>
          <w:numId w:val="24"/>
        </w:numPr>
        <w:spacing w:after="0"/>
        <w:ind w:left="1800"/>
        <w:rPr/>
      </w:pPr>
      <w:r w:rsidR="00BA1894">
        <w:rPr/>
        <w:t>Utilization</w:t>
      </w:r>
      <w:r w:rsidR="00BA1894">
        <w:rPr/>
        <w:t xml:space="preserve"> of physical spaces such as parks, churches, and farmers markets for distributing print materials like</w:t>
      </w:r>
      <w:r w:rsidRPr="0EBF610A" w:rsidR="00BA1894">
        <w:rPr>
          <w:b w:val="1"/>
          <w:bCs w:val="1"/>
        </w:rPr>
        <w:t xml:space="preserve"> flyers and posters</w:t>
      </w:r>
      <w:r w:rsidR="00BA1894">
        <w:rPr/>
        <w:t xml:space="preserve">. </w:t>
      </w:r>
    </w:p>
    <w:p w:rsidR="009D6D6C" w:rsidRDefault="00BA1894" w14:paraId="176AE690" w14:textId="77777777">
      <w:pPr>
        <w:numPr>
          <w:ilvl w:val="0"/>
          <w:numId w:val="36"/>
        </w:numPr>
        <w:spacing w:after="0"/>
        <w:ind w:left="1080"/>
        <w:rPr>
          <w:b/>
        </w:rPr>
      </w:pPr>
      <w:r>
        <w:rPr>
          <w:b/>
        </w:rPr>
        <w:t>Partnerships and Networks</w:t>
      </w:r>
    </w:p>
    <w:p w:rsidR="009D6D6C" w:rsidRDefault="00BA1894" w14:paraId="7B1BD14A" w14:textId="77777777">
      <w:pPr>
        <w:numPr>
          <w:ilvl w:val="0"/>
          <w:numId w:val="7"/>
        </w:numPr>
        <w:spacing w:after="0"/>
        <w:ind w:left="1800"/>
        <w:rPr/>
      </w:pPr>
      <w:r w:rsidR="00BA1894">
        <w:rPr/>
        <w:t xml:space="preserve">Building partnerships with </w:t>
      </w:r>
      <w:r w:rsidRPr="0EBF610A" w:rsidR="00BA1894">
        <w:rPr>
          <w:b w:val="1"/>
          <w:bCs w:val="1"/>
        </w:rPr>
        <w:t>community organizations, schools, and local governments</w:t>
      </w:r>
      <w:r w:rsidR="00BA1894">
        <w:rPr/>
        <w:t xml:space="preserve"> to amplify messaging and expand reach. </w:t>
      </w:r>
    </w:p>
    <w:p w:rsidR="009D6D6C" w:rsidRDefault="00BA1894" w14:paraId="7538FFD0" w14:textId="77777777">
      <w:pPr>
        <w:numPr>
          <w:ilvl w:val="0"/>
          <w:numId w:val="7"/>
        </w:numPr>
        <w:spacing w:after="0"/>
        <w:ind w:left="1800"/>
        <w:rPr/>
      </w:pPr>
      <w:r w:rsidR="00BA1894">
        <w:rPr/>
        <w:t xml:space="preserve">Engaging with </w:t>
      </w:r>
      <w:r w:rsidRPr="0EBF610A" w:rsidR="00BA1894">
        <w:rPr>
          <w:b w:val="1"/>
          <w:bCs w:val="1"/>
        </w:rPr>
        <w:t>community representatives, elders, church leaders, and business leaders</w:t>
      </w:r>
      <w:r w:rsidR="00BA1894">
        <w:rPr/>
        <w:t xml:space="preserve"> to tailor outreach strategies and build trust within communities. </w:t>
      </w:r>
    </w:p>
    <w:p w:rsidR="009D6D6C" w:rsidRDefault="00BA1894" w14:paraId="26BAB930" w14:textId="77777777">
      <w:pPr>
        <w:numPr>
          <w:ilvl w:val="0"/>
          <w:numId w:val="33"/>
        </w:numPr>
        <w:spacing w:after="0"/>
        <w:ind w:left="1080"/>
        <w:rPr>
          <w:b/>
        </w:rPr>
      </w:pPr>
      <w:r>
        <w:rPr>
          <w:b/>
        </w:rPr>
        <w:t>Cultural Liaisons and Multilingual Communicators</w:t>
      </w:r>
    </w:p>
    <w:p w:rsidR="009D6D6C" w:rsidRDefault="00BA1894" w14:paraId="645F2C32" w14:textId="77777777">
      <w:pPr>
        <w:numPr>
          <w:ilvl w:val="0"/>
          <w:numId w:val="42"/>
        </w:numPr>
        <w:spacing w:after="0"/>
        <w:ind w:left="1800"/>
      </w:pPr>
      <w:r>
        <w:lastRenderedPageBreak/>
        <w:t xml:space="preserve">Engagement with trusted messengers within diverse communities, including DJs, community workers, and cultural leaders, to disseminate information effectively. </w:t>
      </w:r>
    </w:p>
    <w:p w:rsidR="009D6D6C" w:rsidRDefault="00BA1894" w14:paraId="322F5820" w14:textId="77777777">
      <w:pPr>
        <w:numPr>
          <w:ilvl w:val="0"/>
          <w:numId w:val="42"/>
        </w:numPr>
        <w:spacing w:after="0"/>
        <w:ind w:left="1800"/>
      </w:pPr>
      <w:r>
        <w:t xml:space="preserve">Ensuring content availability in multiple languages and tailoring messaging to specific cultural contexts and preferences. </w:t>
      </w:r>
    </w:p>
    <w:p w:rsidR="009D6D6C" w:rsidRDefault="00BA1894" w14:paraId="5D5494EC" w14:textId="77777777">
      <w:pPr>
        <w:numPr>
          <w:ilvl w:val="0"/>
          <w:numId w:val="37"/>
        </w:numPr>
        <w:spacing w:after="0"/>
        <w:ind w:left="1080"/>
        <w:rPr>
          <w:b/>
        </w:rPr>
      </w:pPr>
      <w:r>
        <w:rPr>
          <w:b/>
        </w:rPr>
        <w:t>Community-Centric Engagement Specialists</w:t>
      </w:r>
    </w:p>
    <w:p w:rsidR="009D6D6C" w:rsidRDefault="00BA1894" w14:paraId="10E1FEA6" w14:textId="77777777">
      <w:pPr>
        <w:numPr>
          <w:ilvl w:val="0"/>
          <w:numId w:val="17"/>
        </w:numPr>
        <w:spacing w:after="0"/>
        <w:ind w:left="1800"/>
        <w:rPr/>
      </w:pPr>
      <w:r w:rsidR="00BA1894">
        <w:rPr/>
        <w:t xml:space="preserve">Focused efforts on building trust and relationships over time through </w:t>
      </w:r>
      <w:r w:rsidRPr="0EBF610A" w:rsidR="00BA1894">
        <w:rPr>
          <w:b w:val="1"/>
          <w:bCs w:val="1"/>
        </w:rPr>
        <w:t>consistent and</w:t>
      </w:r>
      <w:r w:rsidR="00BA1894">
        <w:rPr/>
        <w:t xml:space="preserve"> </w:t>
      </w:r>
      <w:r w:rsidRPr="0EBF610A" w:rsidR="00BA1894">
        <w:rPr>
          <w:b w:val="1"/>
          <w:bCs w:val="1"/>
        </w:rPr>
        <w:t>transparent communication with stakeholders and community leaders</w:t>
      </w:r>
      <w:r w:rsidR="00BA1894">
        <w:rPr/>
        <w:t xml:space="preserve">. </w:t>
      </w:r>
    </w:p>
    <w:p w:rsidR="009D6D6C" w:rsidRDefault="00BA1894" w14:paraId="48F2E2C6" w14:textId="77777777">
      <w:pPr>
        <w:numPr>
          <w:ilvl w:val="0"/>
          <w:numId w:val="17"/>
        </w:numPr>
        <w:spacing w:after="0"/>
        <w:ind w:left="1800"/>
      </w:pPr>
      <w:r>
        <w:t xml:space="preserve">Recognition of the importance of personal networks and individual connections in fostering community engagement and support. </w:t>
      </w:r>
    </w:p>
    <w:p w:rsidR="009D6D6C" w:rsidRDefault="009D6D6C" w14:paraId="28F28FD0" w14:textId="77777777">
      <w:pPr>
        <w:shd w:val="clear" w:color="auto" w:fill="FFFFFF"/>
        <w:spacing w:after="0" w:line="240" w:lineRule="auto"/>
        <w:rPr>
          <w:rFonts w:ascii="Arial" w:hAnsi="Arial" w:eastAsia="Arial" w:cs="Arial"/>
          <w:b/>
          <w:i/>
        </w:rPr>
      </w:pPr>
    </w:p>
    <w:p w:rsidR="009D6D6C" w:rsidP="63E9FC27" w:rsidRDefault="00BA1894" w14:paraId="7C83D5C8" w14:textId="48DCE374">
      <w:pPr>
        <w:shd w:val="clear" w:color="auto" w:fill="FFFFFF" w:themeFill="background1"/>
        <w:spacing w:after="0" w:line="240" w:lineRule="auto"/>
        <w:rPr>
          <w:rFonts w:ascii="Arial" w:hAnsi="Arial" w:eastAsia="Arial" w:cs="Arial"/>
          <w:b/>
          <w:bCs/>
          <w:i/>
          <w:iCs/>
          <w:u w:val="single"/>
        </w:rPr>
      </w:pPr>
      <w:r w:rsidRPr="63E9FC27">
        <w:rPr>
          <w:rFonts w:ascii="Arial" w:hAnsi="Arial" w:eastAsia="Arial" w:cs="Arial"/>
          <w:b/>
          <w:bCs/>
          <w:i/>
          <w:iCs/>
          <w:u w:val="single"/>
        </w:rPr>
        <w:t>Indigenous Participant</w:t>
      </w:r>
      <w:r w:rsidRPr="63E9FC27" w:rsidR="2B440205">
        <w:rPr>
          <w:rFonts w:ascii="Arial" w:hAnsi="Arial" w:eastAsia="Arial" w:cs="Arial"/>
          <w:b/>
          <w:bCs/>
          <w:i/>
          <w:iCs/>
          <w:u w:val="single"/>
        </w:rPr>
        <w:t xml:space="preserve"> Insights</w:t>
      </w:r>
    </w:p>
    <w:p w:rsidR="009D6D6C" w:rsidRDefault="009D6D6C" w14:paraId="68AD54D6" w14:textId="77777777">
      <w:pPr>
        <w:shd w:val="clear" w:color="auto" w:fill="FFFFFF"/>
        <w:spacing w:after="0" w:line="240" w:lineRule="auto"/>
        <w:rPr>
          <w:u w:val="single"/>
        </w:rPr>
      </w:pPr>
    </w:p>
    <w:p w:rsidR="009D6D6C" w:rsidRDefault="00BA1894" w14:paraId="5C9C8742" w14:textId="77777777">
      <w:pPr>
        <w:numPr>
          <w:ilvl w:val="0"/>
          <w:numId w:val="5"/>
        </w:numPr>
        <w:spacing w:after="0"/>
        <w:ind w:left="1080"/>
        <w:rPr>
          <w:b/>
        </w:rPr>
      </w:pPr>
      <w:r>
        <w:rPr>
          <w:b/>
        </w:rPr>
        <w:t>Community Organizations and Leaders</w:t>
      </w:r>
    </w:p>
    <w:p w:rsidR="009D6D6C" w:rsidRDefault="00BA1894" w14:paraId="7BFDCFEE" w14:textId="77777777">
      <w:pPr>
        <w:numPr>
          <w:ilvl w:val="0"/>
          <w:numId w:val="9"/>
        </w:numPr>
        <w:spacing w:after="0"/>
        <w:ind w:left="1800"/>
      </w:pPr>
      <w:r>
        <w:t xml:space="preserve">Intertribal organizations. </w:t>
      </w:r>
    </w:p>
    <w:p w:rsidR="009D6D6C" w:rsidRDefault="00BA1894" w14:paraId="531EDF50" w14:textId="77777777">
      <w:pPr>
        <w:numPr>
          <w:ilvl w:val="0"/>
          <w:numId w:val="9"/>
        </w:numPr>
        <w:spacing w:after="0"/>
        <w:ind w:left="1800"/>
      </w:pPr>
      <w:r>
        <w:t xml:space="preserve">Native American youth centers. </w:t>
      </w:r>
    </w:p>
    <w:p w:rsidR="009D6D6C" w:rsidRDefault="00BA1894" w14:paraId="6269D1A8" w14:textId="77777777">
      <w:pPr>
        <w:numPr>
          <w:ilvl w:val="0"/>
          <w:numId w:val="9"/>
        </w:numPr>
        <w:spacing w:after="0"/>
        <w:ind w:left="1800"/>
      </w:pPr>
      <w:r>
        <w:t xml:space="preserve">Tribal commissions and Native Heritage Commissions. </w:t>
      </w:r>
    </w:p>
    <w:p w:rsidR="009D6D6C" w:rsidRDefault="00BA1894" w14:paraId="109D12D2" w14:textId="77777777">
      <w:pPr>
        <w:numPr>
          <w:ilvl w:val="0"/>
          <w:numId w:val="3"/>
        </w:numPr>
        <w:spacing w:after="0"/>
        <w:ind w:left="1080"/>
        <w:rPr>
          <w:b/>
        </w:rPr>
      </w:pPr>
      <w:r>
        <w:rPr>
          <w:b/>
        </w:rPr>
        <w:t>Elders and Indigenous Figures</w:t>
      </w:r>
    </w:p>
    <w:p w:rsidR="009D6D6C" w:rsidRDefault="00BA1894" w14:paraId="74E7AE45" w14:textId="77777777">
      <w:pPr>
        <w:numPr>
          <w:ilvl w:val="0"/>
          <w:numId w:val="27"/>
        </w:numPr>
        <w:spacing w:after="0"/>
        <w:ind w:left="1800"/>
      </w:pPr>
      <w:r>
        <w:t xml:space="preserve">Elders within the community. </w:t>
      </w:r>
    </w:p>
    <w:p w:rsidR="009D6D6C" w:rsidRDefault="00BA1894" w14:paraId="77157ECE" w14:textId="77777777">
      <w:pPr>
        <w:numPr>
          <w:ilvl w:val="0"/>
          <w:numId w:val="27"/>
        </w:numPr>
        <w:spacing w:after="0"/>
        <w:ind w:left="1800"/>
      </w:pPr>
      <w:r>
        <w:t xml:space="preserve">Indigenous leaders and activists. </w:t>
      </w:r>
    </w:p>
    <w:p w:rsidR="009D6D6C" w:rsidRDefault="00BA1894" w14:paraId="0EAE9ADA" w14:textId="77777777">
      <w:pPr>
        <w:numPr>
          <w:ilvl w:val="0"/>
          <w:numId w:val="27"/>
        </w:numPr>
        <w:spacing w:after="0"/>
        <w:ind w:left="1800"/>
      </w:pPr>
      <w:r>
        <w:t xml:space="preserve">Individuals with deep cultural knowledge and connections. </w:t>
      </w:r>
    </w:p>
    <w:p w:rsidR="009D6D6C" w:rsidRDefault="00BA1894" w14:paraId="5B7753F7" w14:textId="77777777">
      <w:pPr>
        <w:numPr>
          <w:ilvl w:val="0"/>
          <w:numId w:val="32"/>
        </w:numPr>
        <w:spacing w:after="0"/>
        <w:ind w:left="1080"/>
        <w:rPr>
          <w:b/>
        </w:rPr>
      </w:pPr>
      <w:r>
        <w:rPr>
          <w:b/>
        </w:rPr>
        <w:t>Local Stakeholders and Influential Figures</w:t>
      </w:r>
    </w:p>
    <w:p w:rsidR="009D6D6C" w:rsidRDefault="00BA1894" w14:paraId="0BDD2278" w14:textId="77777777">
      <w:pPr>
        <w:numPr>
          <w:ilvl w:val="0"/>
          <w:numId w:val="1"/>
        </w:numPr>
        <w:spacing w:after="0"/>
        <w:ind w:left="1800"/>
      </w:pPr>
      <w:r>
        <w:t xml:space="preserve">Neighbors and community members. </w:t>
      </w:r>
    </w:p>
    <w:p w:rsidR="009D6D6C" w:rsidRDefault="00BA1894" w14:paraId="3D80131C" w14:textId="77777777">
      <w:pPr>
        <w:numPr>
          <w:ilvl w:val="0"/>
          <w:numId w:val="1"/>
        </w:numPr>
        <w:spacing w:after="0"/>
        <w:ind w:left="1800"/>
      </w:pPr>
      <w:r>
        <w:t xml:space="preserve">Long-standing community groups with deep investments. </w:t>
      </w:r>
    </w:p>
    <w:p w:rsidR="009D6D6C" w:rsidRDefault="00BA1894" w14:paraId="7569F7E1" w14:textId="77777777">
      <w:pPr>
        <w:numPr>
          <w:ilvl w:val="0"/>
          <w:numId w:val="1"/>
        </w:numPr>
        <w:spacing w:after="0"/>
        <w:ind w:left="1800"/>
      </w:pPr>
      <w:r>
        <w:t xml:space="preserve">Influential figures within political and tribal circles. </w:t>
      </w:r>
    </w:p>
    <w:p w:rsidR="009D6D6C" w:rsidRDefault="00BA1894" w14:paraId="7D57635A" w14:textId="77777777">
      <w:pPr>
        <w:numPr>
          <w:ilvl w:val="0"/>
          <w:numId w:val="4"/>
        </w:numPr>
        <w:spacing w:after="0"/>
        <w:ind w:left="1080"/>
        <w:rPr>
          <w:b/>
        </w:rPr>
      </w:pPr>
      <w:r>
        <w:rPr>
          <w:b/>
        </w:rPr>
        <w:t>Cultural Ambassadors and Storytellers</w:t>
      </w:r>
    </w:p>
    <w:p w:rsidR="009D6D6C" w:rsidRDefault="00BA1894" w14:paraId="1C8B7433" w14:textId="77777777">
      <w:pPr>
        <w:numPr>
          <w:ilvl w:val="0"/>
          <w:numId w:val="34"/>
        </w:numPr>
        <w:spacing w:after="0"/>
        <w:ind w:left="1800"/>
      </w:pPr>
      <w:r>
        <w:t xml:space="preserve">Individuals adept at incorporating indigenous history, culture, and language into messaging. </w:t>
      </w:r>
    </w:p>
    <w:p w:rsidR="009D6D6C" w:rsidRDefault="00BA1894" w14:paraId="2CF58FC9" w14:textId="77777777">
      <w:pPr>
        <w:numPr>
          <w:ilvl w:val="0"/>
          <w:numId w:val="18"/>
        </w:numPr>
        <w:spacing w:after="0"/>
        <w:ind w:left="1800"/>
      </w:pPr>
      <w:r>
        <w:t xml:space="preserve">Storytellers who can convey messages effectively through narratives and oral tradition. </w:t>
      </w:r>
    </w:p>
    <w:p w:rsidR="009D6D6C" w:rsidRDefault="00BA1894" w14:paraId="6399E1E4" w14:textId="77777777">
      <w:pPr>
        <w:numPr>
          <w:ilvl w:val="0"/>
          <w:numId w:val="18"/>
        </w:numPr>
        <w:spacing w:after="0"/>
        <w:ind w:left="1800"/>
      </w:pPr>
      <w:r>
        <w:t xml:space="preserve">Cultural ambassadors who bridge gaps between different generations and communities. </w:t>
      </w:r>
    </w:p>
    <w:p w:rsidR="009D6D6C" w:rsidP="63E9FC27" w:rsidRDefault="00BA1894" w14:paraId="217BD9CC" w14:textId="3E625060">
      <w:pPr>
        <w:shd w:val="clear" w:color="auto" w:fill="FFFFFF" w:themeFill="background1"/>
        <w:spacing w:before="300" w:after="300"/>
        <w:rPr>
          <w:rFonts w:ascii="Arial" w:hAnsi="Arial" w:eastAsia="Arial" w:cs="Arial"/>
          <w:b/>
          <w:bCs/>
          <w:i/>
          <w:iCs/>
          <w:u w:val="single"/>
        </w:rPr>
      </w:pPr>
      <w:r w:rsidRPr="63E9FC27">
        <w:rPr>
          <w:rFonts w:ascii="Arial" w:hAnsi="Arial" w:eastAsia="Arial" w:cs="Arial"/>
          <w:b/>
          <w:bCs/>
          <w:i/>
          <w:iCs/>
          <w:u w:val="single"/>
        </w:rPr>
        <w:t>African American/Black Participant</w:t>
      </w:r>
      <w:r w:rsidRPr="63E9FC27" w:rsidR="5BCBA294">
        <w:rPr>
          <w:rFonts w:ascii="Arial" w:hAnsi="Arial" w:eastAsia="Arial" w:cs="Arial"/>
          <w:b/>
          <w:bCs/>
          <w:i/>
          <w:iCs/>
          <w:u w:val="single"/>
        </w:rPr>
        <w:t xml:space="preserve"> Insights</w:t>
      </w:r>
    </w:p>
    <w:p w:rsidR="009D6D6C" w:rsidRDefault="00BA1894" w14:paraId="275F2527" w14:textId="77777777">
      <w:pPr>
        <w:numPr>
          <w:ilvl w:val="0"/>
          <w:numId w:val="39"/>
        </w:numPr>
        <w:spacing w:after="0"/>
        <w:ind w:left="1080"/>
        <w:rPr>
          <w:b/>
        </w:rPr>
      </w:pPr>
      <w:r>
        <w:rPr>
          <w:b/>
        </w:rPr>
        <w:t>Educational Institutions</w:t>
      </w:r>
    </w:p>
    <w:p w:rsidR="009D6D6C" w:rsidRDefault="00BA1894" w14:paraId="08210BEF" w14:textId="77777777">
      <w:pPr>
        <w:numPr>
          <w:ilvl w:val="0"/>
          <w:numId w:val="35"/>
        </w:numPr>
        <w:spacing w:after="0"/>
        <w:ind w:left="1800"/>
        <w:rPr/>
      </w:pPr>
      <w:r w:rsidRPr="0EBF610A" w:rsidR="00BA1894">
        <w:rPr>
          <w:b w:val="1"/>
          <w:bCs w:val="1"/>
        </w:rPr>
        <w:t>Schools serve as central hubs for communities</w:t>
      </w:r>
      <w:r w:rsidR="00BA1894">
        <w:rPr/>
        <w:t xml:space="preserve">, providing regular access to individuals of all ages. </w:t>
      </w:r>
    </w:p>
    <w:p w:rsidR="009D6D6C" w:rsidRDefault="00BA1894" w14:paraId="76D37D3A" w14:textId="77777777">
      <w:pPr>
        <w:numPr>
          <w:ilvl w:val="0"/>
          <w:numId w:val="35"/>
        </w:numPr>
        <w:spacing w:after="0"/>
        <w:ind w:left="1800"/>
        <w:rPr/>
      </w:pPr>
      <w:r w:rsidR="00BA1894">
        <w:rPr/>
        <w:t xml:space="preserve">Schools </w:t>
      </w:r>
      <w:r w:rsidR="00BA1894">
        <w:rPr/>
        <w:t>facilitate</w:t>
      </w:r>
      <w:r w:rsidR="00BA1894">
        <w:rPr/>
        <w:t xml:space="preserve"> the </w:t>
      </w:r>
      <w:r w:rsidRPr="0EBF610A" w:rsidR="00BA1894">
        <w:rPr>
          <w:b w:val="1"/>
          <w:bCs w:val="1"/>
        </w:rPr>
        <w:t>circulation of information</w:t>
      </w:r>
      <w:r w:rsidR="00BA1894">
        <w:rPr/>
        <w:t xml:space="preserve"> and often offer physical spaces for community events and gatherings. </w:t>
      </w:r>
    </w:p>
    <w:p w:rsidR="009D6D6C" w:rsidRDefault="00BA1894" w14:paraId="2A781D1F" w14:textId="77777777">
      <w:pPr>
        <w:numPr>
          <w:ilvl w:val="0"/>
          <w:numId w:val="10"/>
        </w:numPr>
        <w:spacing w:after="0"/>
        <w:ind w:left="1080"/>
      </w:pPr>
      <w:r>
        <w:rPr>
          <w:b/>
        </w:rPr>
        <w:t>Religious Centers</w:t>
      </w:r>
    </w:p>
    <w:p w:rsidR="009D6D6C" w:rsidRDefault="00BA1894" w14:paraId="5D01FC43" w14:textId="77777777">
      <w:pPr>
        <w:numPr>
          <w:ilvl w:val="0"/>
          <w:numId w:val="19"/>
        </w:numPr>
        <w:spacing w:after="0"/>
        <w:ind w:left="1800"/>
        <w:rPr/>
      </w:pPr>
      <w:r w:rsidRPr="0EBF610A" w:rsidR="00BA1894">
        <w:rPr>
          <w:b w:val="1"/>
          <w:bCs w:val="1"/>
        </w:rPr>
        <w:t>Churches and religious spaces</w:t>
      </w:r>
      <w:r w:rsidR="00BA1894">
        <w:rPr/>
        <w:t xml:space="preserve"> play a vital role in community cohesion, serving as social and spiritual anchors. </w:t>
      </w:r>
    </w:p>
    <w:p w:rsidR="009D6D6C" w:rsidRDefault="00BA1894" w14:paraId="3037738D" w14:textId="77777777">
      <w:pPr>
        <w:numPr>
          <w:ilvl w:val="0"/>
          <w:numId w:val="19"/>
        </w:numPr>
        <w:spacing w:after="0"/>
        <w:ind w:left="1800"/>
        <w:rPr/>
      </w:pPr>
      <w:r w:rsidR="00BA1894">
        <w:rPr/>
        <w:t>These spaces often act as the</w:t>
      </w:r>
      <w:r w:rsidRPr="0EBF610A" w:rsidR="00BA1894">
        <w:rPr>
          <w:b w:val="1"/>
          <w:bCs w:val="1"/>
        </w:rPr>
        <w:t xml:space="preserve"> glue that binds communities togethe</w:t>
      </w:r>
      <w:r w:rsidR="00BA1894">
        <w:rPr/>
        <w:t xml:space="preserve">r, fostering social connections and support networks. </w:t>
      </w:r>
    </w:p>
    <w:p w:rsidR="009D6D6C" w:rsidRDefault="00BA1894" w14:paraId="5A58C090" w14:textId="77777777">
      <w:pPr>
        <w:numPr>
          <w:ilvl w:val="0"/>
          <w:numId w:val="22"/>
        </w:numPr>
        <w:spacing w:after="0"/>
        <w:ind w:left="1080"/>
        <w:rPr>
          <w:b/>
        </w:rPr>
      </w:pPr>
      <w:r>
        <w:rPr>
          <w:b/>
        </w:rPr>
        <w:t>Working Groups and Coalitions</w:t>
      </w:r>
    </w:p>
    <w:p w:rsidR="009D6D6C" w:rsidRDefault="00BA1894" w14:paraId="19E03413" w14:textId="77777777">
      <w:pPr>
        <w:numPr>
          <w:ilvl w:val="0"/>
          <w:numId w:val="28"/>
        </w:numPr>
        <w:spacing w:after="0"/>
        <w:ind w:left="1800"/>
      </w:pPr>
      <w:r>
        <w:t xml:space="preserve">Collaborative efforts involving individuals, nonprofits, and other organizations. </w:t>
      </w:r>
    </w:p>
    <w:p w:rsidR="009D6D6C" w:rsidRDefault="00BA1894" w14:paraId="493A759F" w14:textId="77777777">
      <w:pPr>
        <w:numPr>
          <w:ilvl w:val="0"/>
          <w:numId w:val="25"/>
        </w:numPr>
        <w:spacing w:after="0"/>
        <w:ind w:left="1080"/>
        <w:rPr>
          <w:b/>
        </w:rPr>
      </w:pPr>
      <w:r>
        <w:rPr>
          <w:b/>
        </w:rPr>
        <w:t>Retirees and Elders</w:t>
      </w:r>
    </w:p>
    <w:p w:rsidR="009D6D6C" w:rsidRDefault="00BA1894" w14:paraId="62BF41DB" w14:textId="77777777">
      <w:pPr>
        <w:numPr>
          <w:ilvl w:val="0"/>
          <w:numId w:val="29"/>
        </w:numPr>
        <w:spacing w:after="0"/>
        <w:ind w:left="1800"/>
      </w:pPr>
      <w:r>
        <w:t xml:space="preserve">Individuals with extensive experience, time, and dedication to community well-being. </w:t>
      </w:r>
    </w:p>
    <w:p w:rsidR="009D6D6C" w:rsidRDefault="00BA1894" w14:paraId="5E4E5A61" w14:textId="77777777">
      <w:pPr>
        <w:numPr>
          <w:ilvl w:val="0"/>
          <w:numId w:val="29"/>
        </w:numPr>
        <w:spacing w:after="0"/>
        <w:ind w:left="1800"/>
      </w:pPr>
      <w:r>
        <w:t xml:space="preserve">Often, retirees and elders contribute valuable insights and serve as mentors to younger generations. </w:t>
      </w:r>
    </w:p>
    <w:p w:rsidR="009D6D6C" w:rsidRDefault="00BA1894" w14:paraId="7EEE23AF" w14:textId="77777777">
      <w:pPr>
        <w:numPr>
          <w:ilvl w:val="0"/>
          <w:numId w:val="21"/>
        </w:numPr>
        <w:spacing w:after="0"/>
        <w:ind w:left="1080"/>
        <w:rPr>
          <w:b/>
        </w:rPr>
      </w:pPr>
      <w:r>
        <w:rPr>
          <w:b/>
        </w:rPr>
        <w:t>Community Champions and Networks</w:t>
      </w:r>
    </w:p>
    <w:p w:rsidR="009D6D6C" w:rsidRDefault="00BA1894" w14:paraId="10DBF8B9" w14:textId="77777777">
      <w:pPr>
        <w:numPr>
          <w:ilvl w:val="0"/>
          <w:numId w:val="14"/>
        </w:numPr>
        <w:spacing w:after="0"/>
        <w:ind w:left="1800"/>
        <w:rPr/>
      </w:pPr>
      <w:r w:rsidR="00BA1894">
        <w:rPr/>
        <w:t xml:space="preserve">Trusted individuals </w:t>
      </w:r>
      <w:r w:rsidRPr="0EBF610A" w:rsidR="00BA1894">
        <w:rPr>
          <w:b w:val="1"/>
          <w:bCs w:val="1"/>
        </w:rPr>
        <w:t>who may not hold formal titles</w:t>
      </w:r>
      <w:r w:rsidR="00BA1894">
        <w:rPr/>
        <w:t xml:space="preserve"> but are recognized leaders within their communities. </w:t>
      </w:r>
    </w:p>
    <w:p w:rsidR="009D6D6C" w:rsidRDefault="00BA1894" w14:paraId="61E18654" w14:textId="77777777">
      <w:pPr>
        <w:shd w:val="clear" w:color="auto" w:fill="FFFFFF"/>
        <w:spacing w:after="0"/>
      </w:pPr>
      <w:r>
        <w:t xml:space="preserve"> </w:t>
      </w:r>
    </w:p>
    <w:p w:rsidR="009D6D6C" w:rsidP="63E9FC27" w:rsidRDefault="00BA1894" w14:paraId="23EB3C67" w14:textId="32587DA5">
      <w:pPr>
        <w:shd w:val="clear" w:color="auto" w:fill="FFFFFF" w:themeFill="background1"/>
        <w:spacing w:after="0"/>
        <w:rPr>
          <w:rFonts w:ascii="Arial" w:hAnsi="Arial" w:eastAsia="Arial" w:cs="Arial"/>
          <w:b/>
          <w:bCs/>
          <w:i/>
          <w:iCs/>
          <w:u w:val="single"/>
        </w:rPr>
      </w:pPr>
      <w:r w:rsidRPr="63E9FC27">
        <w:rPr>
          <w:rFonts w:ascii="Arial" w:hAnsi="Arial" w:eastAsia="Arial" w:cs="Arial"/>
          <w:b/>
          <w:bCs/>
          <w:i/>
          <w:iCs/>
          <w:u w:val="single"/>
        </w:rPr>
        <w:t>Latine/Latino Participant</w:t>
      </w:r>
      <w:r w:rsidRPr="63E9FC27" w:rsidR="326D7D2D">
        <w:rPr>
          <w:rFonts w:ascii="Arial" w:hAnsi="Arial" w:eastAsia="Arial" w:cs="Arial"/>
          <w:b/>
          <w:bCs/>
          <w:i/>
          <w:iCs/>
          <w:u w:val="single"/>
        </w:rPr>
        <w:t xml:space="preserve"> Insights</w:t>
      </w:r>
    </w:p>
    <w:p w:rsidR="009D6D6C" w:rsidRDefault="009D6D6C" w14:paraId="127906E0" w14:textId="77777777">
      <w:pPr>
        <w:shd w:val="clear" w:color="auto" w:fill="FFFFFF"/>
        <w:spacing w:after="0"/>
        <w:rPr>
          <w:b/>
          <w:u w:val="single"/>
        </w:rPr>
      </w:pPr>
    </w:p>
    <w:p w:rsidR="009D6D6C" w:rsidRDefault="00BA1894" w14:paraId="48096F7B" w14:textId="77777777">
      <w:pPr>
        <w:numPr>
          <w:ilvl w:val="0"/>
          <w:numId w:val="15"/>
        </w:numPr>
        <w:spacing w:after="0"/>
        <w:ind w:left="1080"/>
        <w:rPr>
          <w:b/>
        </w:rPr>
      </w:pPr>
      <w:r>
        <w:rPr>
          <w:b/>
        </w:rPr>
        <w:t>Trusted Community Figures</w:t>
      </w:r>
    </w:p>
    <w:p w:rsidR="009D6D6C" w:rsidP="0EBF610A" w:rsidRDefault="00BA1894" w14:paraId="6F500EF5" w14:textId="76C9C81C">
      <w:pPr>
        <w:numPr>
          <w:ilvl w:val="0"/>
          <w:numId w:val="40"/>
        </w:numPr>
        <w:spacing w:after="0"/>
        <w:ind w:left="1800"/>
        <w:rPr/>
      </w:pPr>
      <w:r w:rsidR="00BA1894">
        <w:rPr/>
        <w:t>Leaders within the community who are respected and have earned trust over time</w:t>
      </w:r>
      <w:r w:rsidR="0C942A82">
        <w:rPr/>
        <w:t xml:space="preserve"> s</w:t>
      </w:r>
      <w:r w:rsidR="00BA1894">
        <w:rPr/>
        <w:t xml:space="preserve">erve as reliable sources of information and guidance for community members. </w:t>
      </w:r>
    </w:p>
    <w:p w:rsidR="009D6D6C" w:rsidRDefault="00BA1894" w14:paraId="6D5AB0BB" w14:textId="77777777">
      <w:pPr>
        <w:numPr>
          <w:ilvl w:val="0"/>
          <w:numId w:val="26"/>
        </w:numPr>
        <w:spacing w:after="0"/>
        <w:ind w:left="1080"/>
      </w:pPr>
      <w:r>
        <w:rPr>
          <w:b/>
        </w:rPr>
        <w:t>Nonprofit Advocates and Success Stories</w:t>
      </w:r>
    </w:p>
    <w:p w:rsidR="009D6D6C" w:rsidRDefault="00BA1894" w14:paraId="4B3AED25" w14:textId="177E7DC7">
      <w:pPr>
        <w:numPr>
          <w:ilvl w:val="0"/>
          <w:numId w:val="30"/>
        </w:numPr>
        <w:spacing w:after="0"/>
        <w:ind w:left="1800"/>
        <w:rPr/>
      </w:pPr>
      <w:r w:rsidR="00BA1894">
        <w:rPr/>
        <w:t xml:space="preserve">Individuals working within </w:t>
      </w:r>
      <w:r w:rsidR="651EF0FF">
        <w:rPr/>
        <w:t>nonprofits who</w:t>
      </w:r>
      <w:r w:rsidR="00BA1894">
        <w:rPr/>
        <w:t xml:space="preserve"> </w:t>
      </w:r>
      <w:r w:rsidR="00BA1894">
        <w:rPr/>
        <w:t xml:space="preserve">have </w:t>
      </w:r>
      <w:r w:rsidR="00BA1894">
        <w:rPr/>
        <w:t>demonstrated</w:t>
      </w:r>
      <w:r w:rsidR="00BA1894">
        <w:rPr/>
        <w:t xml:space="preserve"> positive impact and successful outcomes. Their stories and experiences </w:t>
      </w:r>
      <w:r w:rsidRPr="0EBF610A" w:rsidR="00BA1894">
        <w:rPr>
          <w:b w:val="1"/>
          <w:bCs w:val="1"/>
        </w:rPr>
        <w:t>serve as testimonials</w:t>
      </w:r>
      <w:r w:rsidR="00BA1894">
        <w:rPr/>
        <w:t xml:space="preserve">, building trust and credibility. </w:t>
      </w:r>
    </w:p>
    <w:p w:rsidR="009D6D6C" w:rsidRDefault="00BA1894" w14:paraId="2EA87DFB" w14:textId="77777777">
      <w:pPr>
        <w:numPr>
          <w:ilvl w:val="0"/>
          <w:numId w:val="13"/>
        </w:numPr>
        <w:spacing w:after="0"/>
        <w:ind w:left="1080"/>
        <w:rPr>
          <w:b/>
        </w:rPr>
      </w:pPr>
      <w:r>
        <w:rPr>
          <w:b/>
        </w:rPr>
        <w:t>Traditional Media Outlets</w:t>
      </w:r>
    </w:p>
    <w:p w:rsidR="009D6D6C" w:rsidRDefault="00BA1894" w14:paraId="10F5E259" w14:textId="77777777">
      <w:pPr>
        <w:numPr>
          <w:ilvl w:val="0"/>
          <w:numId w:val="8"/>
        </w:numPr>
        <w:spacing w:after="0"/>
        <w:ind w:left="1800"/>
      </w:pPr>
      <w:r>
        <w:t xml:space="preserve">Trusted sources of information that have a broad reach within the community. </w:t>
      </w:r>
    </w:p>
    <w:p w:rsidR="009D6D6C" w:rsidRDefault="00BA1894" w14:paraId="43F933D8" w14:textId="77777777">
      <w:pPr>
        <w:numPr>
          <w:ilvl w:val="0"/>
          <w:numId w:val="8"/>
        </w:numPr>
        <w:spacing w:after="0"/>
        <w:ind w:left="1800"/>
      </w:pPr>
      <w:r>
        <w:t xml:space="preserve">Word can spread quickly through such channels, influencing public opinion and behavior. </w:t>
      </w:r>
    </w:p>
    <w:p w:rsidR="009D6D6C" w:rsidRDefault="00BA1894" w14:paraId="4A46B232" w14:textId="77777777">
      <w:pPr>
        <w:numPr>
          <w:ilvl w:val="0"/>
          <w:numId w:val="16"/>
        </w:numPr>
        <w:spacing w:after="0"/>
        <w:ind w:left="1080"/>
        <w:rPr>
          <w:b/>
        </w:rPr>
      </w:pPr>
      <w:r>
        <w:rPr>
          <w:b/>
        </w:rPr>
        <w:t>Word of Mouth and Testimonials</w:t>
      </w:r>
    </w:p>
    <w:p w:rsidR="009D6D6C" w:rsidRDefault="00BA1894" w14:paraId="152F0202" w14:textId="77777777">
      <w:pPr>
        <w:numPr>
          <w:ilvl w:val="0"/>
          <w:numId w:val="31"/>
        </w:numPr>
        <w:spacing w:after="0"/>
        <w:ind w:left="1800"/>
      </w:pPr>
      <w:r>
        <w:t xml:space="preserve">Personal recommendations and stories from community members about their experiences. </w:t>
      </w:r>
    </w:p>
    <w:p w:rsidR="009D6D6C" w:rsidRDefault="00BA1894" w14:paraId="476CB209" w14:textId="77777777">
      <w:pPr>
        <w:numPr>
          <w:ilvl w:val="0"/>
          <w:numId w:val="31"/>
        </w:numPr>
        <w:spacing w:after="0"/>
        <w:ind w:left="1800"/>
      </w:pPr>
      <w:r>
        <w:t xml:space="preserve">These anecdotes carry significant weight and can influence the perceptions of others. </w:t>
      </w:r>
    </w:p>
    <w:p w:rsidR="009D6D6C" w:rsidRDefault="00BA1894" w14:paraId="2FF6DCA9" w14:textId="77777777">
      <w:pPr>
        <w:numPr>
          <w:ilvl w:val="0"/>
          <w:numId w:val="11"/>
        </w:numPr>
        <w:spacing w:after="0"/>
        <w:ind w:left="1080"/>
        <w:rPr>
          <w:b/>
        </w:rPr>
      </w:pPr>
      <w:r>
        <w:rPr>
          <w:b/>
        </w:rPr>
        <w:t>Community Health Workers and Faith Leaders</w:t>
      </w:r>
    </w:p>
    <w:p w:rsidR="009D6D6C" w:rsidRDefault="00BA1894" w14:paraId="2C7C0D9F" w14:textId="77777777">
      <w:pPr>
        <w:numPr>
          <w:ilvl w:val="0"/>
          <w:numId w:val="12"/>
        </w:numPr>
        <w:spacing w:after="0"/>
        <w:ind w:left="1800"/>
        <w:rPr/>
      </w:pPr>
      <w:r w:rsidR="00BA1894">
        <w:rPr/>
        <w:t xml:space="preserve">Trusted individuals who have </w:t>
      </w:r>
      <w:r w:rsidRPr="0EBF610A" w:rsidR="00BA1894">
        <w:rPr>
          <w:b w:val="1"/>
          <w:bCs w:val="1"/>
        </w:rPr>
        <w:t>regular interactions with community members</w:t>
      </w:r>
      <w:r w:rsidR="00BA1894">
        <w:rPr/>
        <w:t xml:space="preserve">. They can play essential roles in providing support, guidance, and information within their respective domains. </w:t>
      </w:r>
    </w:p>
    <w:p w:rsidR="009D6D6C" w:rsidRDefault="00BA1894" w14:paraId="2E235884" w14:textId="77777777">
      <w:pPr>
        <w:shd w:val="clear" w:color="auto" w:fill="FFFFFF"/>
        <w:spacing w:after="0"/>
        <w:rPr>
          <w:b/>
          <w:color w:val="237D12"/>
        </w:rPr>
      </w:pPr>
      <w:r>
        <w:rPr>
          <w:b/>
          <w:color w:val="237D12"/>
        </w:rPr>
        <w:t xml:space="preserve"> </w:t>
      </w:r>
    </w:p>
    <w:p w:rsidR="006046D5" w:rsidRDefault="006046D5" w14:paraId="294E7BA1" w14:textId="77777777">
      <w:pPr>
        <w:shd w:val="clear" w:color="auto" w:fill="FFFFFF"/>
        <w:spacing w:after="0"/>
        <w:rPr>
          <w:rFonts w:ascii="Arial" w:hAnsi="Arial" w:eastAsia="Arial" w:cs="Arial"/>
          <w:b/>
          <w:color w:val="237D12"/>
        </w:rPr>
      </w:pPr>
    </w:p>
    <w:p w:rsidR="003C1A7A" w:rsidP="0EBF610A" w:rsidRDefault="00BA1894" w14:paraId="6A64C23D" w14:textId="37D5D479">
      <w:pPr>
        <w:shd w:val="clear" w:color="auto" w:fill="FFFFFF" w:themeFill="background1"/>
        <w:spacing w:after="0"/>
        <w:rPr>
          <w:rFonts w:ascii="Arial" w:hAnsi="Arial" w:eastAsia="Arial" w:cs="Arial"/>
          <w:b w:val="1"/>
          <w:bCs w:val="1"/>
          <w:color w:val="237D12" w:themeColor="text2" w:themeTint="FF" w:themeShade="FF"/>
        </w:rPr>
      </w:pPr>
    </w:p>
    <w:p w:rsidR="003C1A7A" w:rsidP="0EBF610A" w:rsidRDefault="00BA1894" w14:paraId="6249A943" w14:textId="704CA760">
      <w:pPr>
        <w:shd w:val="clear" w:color="auto" w:fill="FFFFFF" w:themeFill="background1"/>
        <w:spacing w:after="0"/>
        <w:rPr>
          <w:rFonts w:ascii="Arial" w:hAnsi="Arial" w:eastAsia="Arial" w:cs="Arial"/>
          <w:b w:val="1"/>
          <w:bCs w:val="1"/>
          <w:color w:val="237D12" w:themeColor="text2" w:themeTint="FF" w:themeShade="FF"/>
        </w:rPr>
      </w:pPr>
    </w:p>
    <w:p w:rsidR="003C1A7A" w:rsidP="21DC2545" w:rsidRDefault="00BA1894" w14:paraId="4910A749" w14:textId="553E677B">
      <w:pPr>
        <w:pStyle w:val="Normal"/>
        <w:shd w:val="clear" w:color="auto" w:fill="FFFFFF" w:themeFill="background1"/>
        <w:spacing w:after="0"/>
        <w:rPr>
          <w:rFonts w:ascii="Arial" w:hAnsi="Arial" w:eastAsia="Arial" w:cs="Arial"/>
          <w:b w:val="1"/>
          <w:bCs w:val="1"/>
          <w:color w:val="237D12"/>
          <w:u w:val="single"/>
        </w:rPr>
      </w:pPr>
      <w:r w:rsidRPr="21DC2545" w:rsidR="00BA1894">
        <w:rPr>
          <w:rFonts w:ascii="Arial" w:hAnsi="Arial" w:eastAsia="Arial" w:cs="Arial"/>
          <w:b w:val="1"/>
          <w:bCs w:val="1"/>
          <w:color w:val="227C12"/>
          <w:u w:val="single"/>
        </w:rPr>
        <w:t>Selected Resources</w:t>
      </w:r>
    </w:p>
    <w:p w:rsidR="009D6D6C" w:rsidRDefault="00BA1894" w14:paraId="1D078BEF" w14:textId="7F10F840">
      <w:pPr>
        <w:shd w:val="clear" w:color="auto" w:fill="FFFFFF"/>
        <w:spacing w:after="0"/>
        <w:rPr>
          <w:rFonts w:ascii="Arial" w:hAnsi="Arial" w:eastAsia="Arial" w:cs="Arial"/>
          <w:b/>
          <w:color w:val="237D12"/>
          <w:sz w:val="28"/>
          <w:szCs w:val="28"/>
        </w:rPr>
      </w:pPr>
      <w:r>
        <w:rPr>
          <w:rFonts w:ascii="Arial" w:hAnsi="Arial" w:eastAsia="Arial" w:cs="Arial"/>
          <w:b/>
          <w:color w:val="237D12"/>
          <w:sz w:val="28"/>
          <w:szCs w:val="28"/>
        </w:rPr>
        <w:t xml:space="preserve"> </w:t>
      </w:r>
    </w:p>
    <w:p w:rsidR="009D6D6C" w:rsidP="5141A1BE" w:rsidRDefault="00BA1894" w14:paraId="45900A58" w14:textId="26EC20B6">
      <w:pPr>
        <w:shd w:val="clear" w:color="auto" w:fill="FFFFFF" w:themeFill="background1"/>
        <w:spacing w:after="0"/>
      </w:pPr>
      <w:r>
        <w:t>These resources provide examples of organizations incorporating community engaged planning into their work, how-to's focused on assessing community needs through thoughtful engagement and recognition of community connectors, and a case study that can provide an example of successfully o</w:t>
      </w:r>
      <w:r w:rsidR="3A9CAE14">
        <w:t>rganizing community effort.</w:t>
      </w:r>
    </w:p>
    <w:p w:rsidR="009D6D6C" w:rsidRDefault="00BA1894" w14:paraId="41E9A67D" w14:textId="77777777">
      <w:pPr>
        <w:shd w:val="clear" w:color="auto" w:fill="FFFFFF"/>
      </w:pPr>
      <w:r>
        <w:t xml:space="preserve"> </w:t>
      </w:r>
    </w:p>
    <w:p w:rsidR="009D6D6C" w:rsidP="5141A1BE" w:rsidRDefault="00BA1894" w14:paraId="3BA4DF0E" w14:textId="2402687D">
      <w:pPr>
        <w:shd w:val="clear" w:color="auto" w:fill="FFFFFF" w:themeFill="background1"/>
      </w:pPr>
      <w:r w:rsidRPr="5141A1BE">
        <w:rPr>
          <w:b/>
          <w:bCs/>
        </w:rPr>
        <w:t>EXAMPL</w:t>
      </w:r>
      <w:r w:rsidRPr="5141A1BE" w:rsidR="47F254F6">
        <w:rPr>
          <w:b/>
          <w:bCs/>
        </w:rPr>
        <w:t>E -</w:t>
      </w:r>
      <w:hyperlink r:id="rId15">
        <w:r w:rsidRPr="5141A1BE">
          <w:rPr>
            <w:b/>
            <w:bCs/>
          </w:rPr>
          <w:t xml:space="preserve"> </w:t>
        </w:r>
      </w:hyperlink>
      <w:hyperlink r:id="rId16">
        <w:r w:rsidRPr="5141A1BE">
          <w:rPr>
            <w:b/>
            <w:bCs/>
            <w:color w:val="0070C0"/>
            <w:u w:val="single"/>
          </w:rPr>
          <w:t>Participatory Budgeting Project</w:t>
        </w:r>
      </w:hyperlink>
      <w:r w:rsidRPr="5141A1BE">
        <w:rPr>
          <w:b/>
          <w:bCs/>
        </w:rPr>
        <w:t xml:space="preserve">: </w:t>
      </w:r>
      <w:r>
        <w:t xml:space="preserve">Participatory Budgeting is a process that involves citizens in deciding how to allocate a portion of a public budget. This process requires community input, and often has relied on trusted community messengers to encourage buy-in.  </w:t>
      </w:r>
    </w:p>
    <w:p w:rsidR="009D6D6C" w:rsidP="5141A1BE" w:rsidRDefault="00BA1894" w14:paraId="3F0DE72A" w14:textId="3D632A9C">
      <w:pPr>
        <w:shd w:val="clear" w:color="auto" w:fill="FFFFFF" w:themeFill="background1"/>
      </w:pPr>
      <w:r w:rsidRPr="5141A1BE">
        <w:rPr>
          <w:b/>
          <w:bCs/>
        </w:rPr>
        <w:t>HOW-TO</w:t>
      </w:r>
      <w:r w:rsidRPr="5141A1BE" w:rsidR="7B079142">
        <w:rPr>
          <w:b/>
          <w:bCs/>
        </w:rPr>
        <w:t xml:space="preserve"> -</w:t>
      </w:r>
      <w:r w:rsidRPr="5141A1BE">
        <w:rPr>
          <w:b/>
          <w:bCs/>
        </w:rPr>
        <w:t xml:space="preserve"> </w:t>
      </w:r>
      <w:hyperlink r:id="rId17">
        <w:r w:rsidRPr="5141A1BE">
          <w:rPr>
            <w:b/>
            <w:bCs/>
            <w:color w:val="0070C0"/>
          </w:rPr>
          <w:t xml:space="preserve"> </w:t>
        </w:r>
      </w:hyperlink>
      <w:hyperlink r:id="rId18">
        <w:r w:rsidRPr="5141A1BE">
          <w:rPr>
            <w:b/>
            <w:bCs/>
            <w:color w:val="0070C0"/>
            <w:u w:val="single"/>
          </w:rPr>
          <w:t>City of Philadelphia’s Equitable Community Engagement Toolkit’s Trusted Messengers Plan</w:t>
        </w:r>
      </w:hyperlink>
      <w:r w:rsidRPr="5141A1BE">
        <w:rPr>
          <w:b/>
          <w:bCs/>
        </w:rPr>
        <w:t>:</w:t>
      </w:r>
      <w:r>
        <w:t xml:space="preserve"> As a part of the City of Philadelphia’s Equitable Community Engagement Toolkit, this planning tool helps organizations and individuals identify and work with trusted messengers, and plan to ask their help on activities like advising, communication, and facilitation. </w:t>
      </w:r>
    </w:p>
    <w:p w:rsidR="009D6D6C" w:rsidP="5141A1BE" w:rsidRDefault="00BA1894" w14:paraId="136A1040" w14:textId="6C85C113">
      <w:pPr>
        <w:shd w:val="clear" w:color="auto" w:fill="FFFFFF" w:themeFill="background1"/>
      </w:pPr>
      <w:r w:rsidRPr="5141A1BE">
        <w:rPr>
          <w:b/>
          <w:bCs/>
        </w:rPr>
        <w:t>CASE STUDY</w:t>
      </w:r>
      <w:r w:rsidRPr="5141A1BE" w:rsidR="523828DA">
        <w:rPr>
          <w:b/>
          <w:bCs/>
        </w:rPr>
        <w:t xml:space="preserve"> -</w:t>
      </w:r>
      <w:hyperlink r:id="rId19">
        <w:r w:rsidRPr="5141A1BE">
          <w:rPr>
            <w:b/>
            <w:bCs/>
          </w:rPr>
          <w:t xml:space="preserve"> </w:t>
        </w:r>
      </w:hyperlink>
      <w:hyperlink r:id="rId20">
        <w:r w:rsidRPr="5141A1BE">
          <w:rPr>
            <w:b/>
            <w:bCs/>
            <w:color w:val="0070C0"/>
            <w:u w:val="single"/>
          </w:rPr>
          <w:t>Portland Parks and Recreation – Planting an Equitable Forest</w:t>
        </w:r>
      </w:hyperlink>
      <w:r w:rsidRPr="5141A1BE">
        <w:rPr>
          <w:b/>
          <w:bCs/>
        </w:rPr>
        <w:t>:</w:t>
      </w:r>
      <w:r>
        <w:t xml:space="preserve"> Through engaging community groups and influencers by way of a Community Advisory Committee that informed approaches towards an Equity Plan that incorporated the City’s urban tree canopy. This process has set the city up for a better community engagement process around urban forestry.  </w:t>
      </w:r>
    </w:p>
    <w:p w:rsidR="009D6D6C" w:rsidRDefault="00BA1894" w14:paraId="66FE207E" w14:textId="77777777">
      <w:pPr>
        <w:shd w:val="clear" w:color="auto" w:fill="FFFFFF"/>
        <w:spacing w:after="0"/>
        <w:rPr>
          <w:b/>
          <w:color w:val="237D12"/>
        </w:rPr>
      </w:pPr>
      <w:r w:rsidRPr="21DC2545" w:rsidR="00BA1894">
        <w:rPr>
          <w:b w:val="1"/>
          <w:bCs w:val="1"/>
          <w:color w:val="237D12" w:themeColor="text2" w:themeTint="FF" w:themeShade="FF"/>
        </w:rPr>
        <w:t xml:space="preserve"> </w:t>
      </w:r>
    </w:p>
    <w:p w:rsidR="21DC2545" w:rsidP="21DC2545" w:rsidRDefault="21DC2545" w14:paraId="519ADBB2" w14:textId="2FCF9212">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F273750" w14:textId="2A8763FE">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9B01D96" w14:textId="51A8990C">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8B85E8E" w14:textId="1C70D2C1">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91F2897" w14:textId="5C33B713">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4AE8D38" w14:textId="4DD43D4A">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42C2088" w14:textId="61C6D2E9">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29EC7C12" w14:textId="720712D1">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427C181" w14:textId="59997311">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2750BC9F" w14:textId="33D7DE94">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2D984FA6" w14:textId="51D2B91E">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0EE80391" w14:textId="678FD791">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418DAB8B" w14:textId="6AF498EE">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6182DB42" w14:textId="0D815B34">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4259B593" w14:textId="491EC383">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89B7BEF" w14:textId="39CDCC0E">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737409D" w14:textId="1B8A9388">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45E3ECEB" w14:textId="6FB14E2D">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2019A504" w14:textId="011D69F5">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25D407C7" w14:textId="3D86F9FC">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3360C888" w14:textId="6D9D7192">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3194D37" w14:textId="7CF24832">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59995E40" w14:textId="6818AA6B">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382E0824" w14:textId="45CFB389">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1DD69727" w14:textId="54DC3A8D">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6A4F3F47" w14:textId="04C49C10">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21DC2545" w:rsidP="21DC2545" w:rsidRDefault="21DC2545" w14:paraId="3EFDF174" w14:textId="00EBC1CA">
      <w:pPr>
        <w:shd w:val="clear" w:color="auto" w:fill="FFFFFF" w:themeFill="background1"/>
        <w:spacing w:after="0" w:line="240" w:lineRule="auto"/>
        <w:rPr>
          <w:rFonts w:ascii="Arial" w:hAnsi="Arial" w:eastAsia="Arial" w:cs="Arial"/>
          <w:b w:val="1"/>
          <w:bCs w:val="1"/>
          <w:color w:val="237D12" w:themeColor="text2" w:themeTint="FF" w:themeShade="FF"/>
          <w:u w:val="single"/>
        </w:rPr>
      </w:pPr>
    </w:p>
    <w:p w:rsidR="009D6D6C" w:rsidP="21DC2545" w:rsidRDefault="00BA1894" w14:paraId="3E317949" w14:textId="77777777">
      <w:pPr>
        <w:shd w:val="clear" w:color="auto" w:fill="FFFFFF" w:themeFill="background1"/>
        <w:spacing w:after="0" w:line="240" w:lineRule="auto"/>
        <w:rPr>
          <w:rFonts w:ascii="Arial" w:hAnsi="Arial" w:eastAsia="Arial" w:cs="Arial"/>
          <w:b w:val="1"/>
          <w:bCs w:val="1"/>
          <w:color w:val="237D12"/>
          <w:u w:val="single"/>
        </w:rPr>
      </w:pPr>
      <w:r w:rsidRPr="21DC2545" w:rsidR="00BA1894">
        <w:rPr>
          <w:rFonts w:ascii="Arial" w:hAnsi="Arial" w:eastAsia="Arial" w:cs="Arial"/>
          <w:b w:val="1"/>
          <w:bCs w:val="1"/>
          <w:color w:val="237D12" w:themeColor="text2" w:themeTint="FF" w:themeShade="FF"/>
          <w:u w:val="single"/>
        </w:rPr>
        <w:t>References</w:t>
      </w:r>
    </w:p>
    <w:p w:rsidR="009D6D6C" w:rsidRDefault="009D6D6C" w14:paraId="0B06B47F" w14:textId="77777777">
      <w:pPr>
        <w:shd w:val="clear" w:color="auto" w:fill="FFFFFF"/>
        <w:spacing w:after="0" w:line="240" w:lineRule="auto"/>
        <w:rPr>
          <w:rFonts w:ascii="Arial" w:hAnsi="Arial" w:eastAsia="Arial" w:cs="Arial"/>
          <w:b/>
          <w:color w:val="237D12"/>
        </w:rPr>
      </w:pPr>
    </w:p>
    <w:p w:rsidR="009D6D6C" w:rsidRDefault="00BA1894" w14:paraId="1B4730D9" w14:textId="77777777">
      <w:pPr>
        <w:shd w:val="clear" w:color="auto" w:fill="FFFFFF"/>
        <w:spacing w:line="240" w:lineRule="auto"/>
      </w:pPr>
      <w:r>
        <w:t xml:space="preserve">Collective, S. (2023, December 8). </w:t>
      </w:r>
      <w:r>
        <w:rPr>
          <w:i/>
        </w:rPr>
        <w:t>Learn about PB - Participatory Budgeting Project</w:t>
      </w:r>
      <w:r>
        <w:t>. Participatory Budgeting Project.</w:t>
      </w:r>
      <w:hyperlink r:id="rId21">
        <w:r>
          <w:t xml:space="preserve"> </w:t>
        </w:r>
      </w:hyperlink>
      <w:hyperlink r:id="rId22">
        <w:r>
          <w:rPr>
            <w:u w:val="single"/>
          </w:rPr>
          <w:t>https://www.participatorybudgeting.org/about-pb/</w:t>
        </w:r>
      </w:hyperlink>
      <w:r>
        <w:t xml:space="preserve"> </w:t>
      </w:r>
    </w:p>
    <w:p w:rsidR="009D6D6C" w:rsidRDefault="00BA1894" w14:paraId="1529BDF7" w14:textId="77777777">
      <w:pPr>
        <w:pBdr>
          <w:left w:val="none" w:color="auto" w:sz="0" w:space="14"/>
        </w:pBdr>
        <w:shd w:val="clear" w:color="auto" w:fill="FFFFFF"/>
        <w:spacing w:line="240" w:lineRule="auto"/>
      </w:pPr>
      <w:r>
        <w:rPr>
          <w:i/>
        </w:rPr>
        <w:t>Community leadership</w:t>
      </w:r>
      <w:r>
        <w:t>. (n.d.). Equitable CommunityEngagementToolkit.</w:t>
      </w:r>
      <w:hyperlink r:id="rId23">
        <w:r>
          <w:rPr>
            <w:u w:val="single"/>
          </w:rPr>
          <w:t>https://engagementtoolkit.phila.gov/guides/community-leadership/</w:t>
        </w:r>
      </w:hyperlink>
      <w:r>
        <w:t xml:space="preserve"> </w:t>
      </w:r>
    </w:p>
    <w:p w:rsidR="009D6D6C" w:rsidP="63E9FC27" w:rsidRDefault="009D6D6C" w14:paraId="2C4B081F" w14:textId="00A1E1A8">
      <w:pPr>
        <w:pBdr>
          <w:left w:val="none" w:color="auto" w:sz="0" w:space="14"/>
        </w:pBdr>
        <w:shd w:val="clear" w:color="auto" w:fill="FFFFFF" w:themeFill="background1"/>
        <w:spacing w:line="240" w:lineRule="auto"/>
      </w:pPr>
      <w:r w:rsidRPr="63E9FC27">
        <w:rPr>
          <w:i/>
          <w:iCs/>
        </w:rPr>
        <w:t>Portland Parks and Recreation: Planting an equitable forest</w:t>
      </w:r>
      <w:r>
        <w:t>. (n.d.).</w:t>
      </w:r>
      <w:hyperlink r:id="rId24">
        <w:r w:rsidRPr="63E9FC27">
          <w:rPr>
            <w:u w:val="single"/>
          </w:rPr>
          <w:t>https://www.vibrantcitieslab.com/case-studies/portland-parks-and-recreation-planting-an-equitable-forest/</w:t>
        </w:r>
      </w:hyperlink>
    </w:p>
    <w:sectPr w:rsidR="009D6D6C">
      <w:headerReference w:type="even" r:id="rId25"/>
      <w:headerReference w:type="default" r:id="rId26"/>
      <w:footerReference w:type="even" r:id="rId27"/>
      <w:footerReference w:type="default" r:id="rId28"/>
      <w:headerReference w:type="first" r:id="rId29"/>
      <w:footerReference w:type="first" r:id="rId30"/>
      <w:pgSz w:w="12240" w:h="15840" w:orient="portrait"/>
      <w:pgMar w:top="1440" w:right="1440" w:bottom="1440" w:left="1440" w:header="1440" w:footer="432" w:gutter="0"/>
      <w:pgNumType w:start="1"/>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12B8" w:rsidRDefault="001D12B8" w14:paraId="5B956BB9" w14:textId="77777777">
      <w:pPr>
        <w:spacing w:after="0" w:line="240" w:lineRule="auto"/>
      </w:pPr>
      <w:r>
        <w:separator/>
      </w:r>
    </w:p>
  </w:endnote>
  <w:endnote w:type="continuationSeparator" w:id="0">
    <w:p w:rsidR="001D12B8" w:rsidRDefault="001D12B8" w14:paraId="0D9D34A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BA1894" w14:paraId="072617FF" w14:textId="77777777">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sidR="009442A8">
      <w:rPr>
        <w:color w:val="000000"/>
      </w:rPr>
      <w:fldChar w:fldCharType="separate"/>
    </w:r>
    <w:r>
      <w:rPr>
        <w:color w:val="000000"/>
      </w:rPr>
      <w:fldChar w:fldCharType="end"/>
    </w:r>
  </w:p>
  <w:p w:rsidR="009D6D6C" w:rsidRDefault="009D6D6C" w14:paraId="5B7342B7" w14:textId="77777777">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D6D6C" w:rsidRDefault="00BA1894" w14:paraId="1631FD25" w14:textId="21CF1A55">
    <w:pPr>
      <w:pBdr>
        <w:top w:val="nil"/>
        <w:left w:val="nil"/>
        <w:bottom w:val="nil"/>
        <w:right w:val="nil"/>
        <w:between w:val="nil"/>
      </w:pBdr>
      <w:tabs>
        <w:tab w:val="center" w:pos="4680"/>
        <w:tab w:val="right" w:pos="9360"/>
      </w:tabs>
      <w:spacing w:after="0" w:line="240" w:lineRule="auto"/>
      <w:jc w:val="right"/>
      <w:rPr>
        <w:rFonts w:ascii="Arial" w:hAnsi="Arial" w:eastAsia="Arial" w:cs="Arial"/>
        <w:color w:val="237D12"/>
      </w:rPr>
    </w:pPr>
    <w:r>
      <w:rPr>
        <w:rFonts w:ascii="Arial" w:hAnsi="Arial" w:eastAsia="Arial" w:cs="Arial"/>
        <w:color w:val="237D12"/>
      </w:rPr>
      <w:fldChar w:fldCharType="begin"/>
    </w:r>
    <w:r>
      <w:rPr>
        <w:rFonts w:ascii="Arial" w:hAnsi="Arial" w:eastAsia="Arial" w:cs="Arial"/>
        <w:color w:val="237D12"/>
      </w:rPr>
      <w:instrText>PAGE</w:instrText>
    </w:r>
    <w:r>
      <w:rPr>
        <w:rFonts w:ascii="Arial" w:hAnsi="Arial" w:eastAsia="Arial" w:cs="Arial"/>
        <w:color w:val="237D12"/>
      </w:rPr>
      <w:fldChar w:fldCharType="separate"/>
    </w:r>
    <w:r w:rsidR="00067345">
      <w:rPr>
        <w:rFonts w:ascii="Arial" w:hAnsi="Arial" w:eastAsia="Arial" w:cs="Arial"/>
        <w:noProof/>
        <w:color w:val="237D12"/>
      </w:rPr>
      <w:t>2</w:t>
    </w:r>
    <w:r>
      <w:rPr>
        <w:rFonts w:ascii="Arial" w:hAnsi="Arial" w:eastAsia="Arial" w:cs="Arial"/>
        <w:color w:val="237D12"/>
      </w:rPr>
      <w:fldChar w:fldCharType="end"/>
    </w:r>
  </w:p>
  <w:p w:rsidR="009D6D6C" w:rsidRDefault="00BA1894" w14:paraId="16C936C1" w14:textId="77777777">
    <w:pPr>
      <w:pBdr>
        <w:top w:val="nil"/>
        <w:left w:val="nil"/>
        <w:bottom w:val="nil"/>
        <w:right w:val="nil"/>
        <w:between w:val="nil"/>
      </w:pBdr>
      <w:tabs>
        <w:tab w:val="center" w:pos="4680"/>
        <w:tab w:val="right" w:pos="9360"/>
      </w:tabs>
      <w:spacing w:after="0" w:line="240" w:lineRule="auto"/>
      <w:ind w:right="360"/>
      <w:rPr>
        <w:color w:val="000000"/>
      </w:rPr>
    </w:pPr>
    <w:r>
      <w:rPr>
        <w:noProof/>
      </w:rPr>
      <w:drawing>
        <wp:anchor distT="0" distB="0" distL="0" distR="0" simplePos="0" relativeHeight="251660288" behindDoc="1" locked="0" layoutInCell="1" hidden="0" allowOverlap="1" wp14:anchorId="7261B788" wp14:editId="29CAC30F">
          <wp:simplePos x="0" y="0"/>
          <wp:positionH relativeFrom="column">
            <wp:posOffset>-913763</wp:posOffset>
          </wp:positionH>
          <wp:positionV relativeFrom="paragraph">
            <wp:posOffset>-3888857</wp:posOffset>
          </wp:positionV>
          <wp:extent cx="7824979" cy="4347210"/>
          <wp:effectExtent l="0" t="0" r="0" b="0"/>
          <wp:wrapNone/>
          <wp:docPr id="1780902434" name="image2.png" descr="A white background with a white wav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background with a white wave&#10;&#10;Description automatically generated with medium confidence"/>
                  <pic:cNvPicPr preferRelativeResize="0"/>
                </pic:nvPicPr>
                <pic:blipFill>
                  <a:blip r:embed="rId1"/>
                  <a:srcRect/>
                  <a:stretch>
                    <a:fillRect/>
                  </a:stretch>
                </pic:blipFill>
                <pic:spPr>
                  <a:xfrm>
                    <a:off x="0" y="0"/>
                    <a:ext cx="7824979" cy="4347210"/>
                  </a:xfrm>
                  <a:prstGeom prst="rect">
                    <a:avLst/>
                  </a:prstGeom>
                  <a:ln/>
                </pic:spPr>
              </pic:pic>
            </a:graphicData>
          </a:graphic>
        </wp:anchor>
      </w:drawing>
    </w:r>
    <w:r>
      <w:rPr>
        <w:noProof/>
      </w:rPr>
      <w:drawing>
        <wp:anchor distT="0" distB="0" distL="0" distR="0" simplePos="0" relativeHeight="251661312" behindDoc="1" locked="0" layoutInCell="1" hidden="0" allowOverlap="1" wp14:anchorId="62A9EA98" wp14:editId="2B99A263">
          <wp:simplePos x="0" y="0"/>
          <wp:positionH relativeFrom="column">
            <wp:posOffset>3998071</wp:posOffset>
          </wp:positionH>
          <wp:positionV relativeFrom="paragraph">
            <wp:posOffset>-236219</wp:posOffset>
          </wp:positionV>
          <wp:extent cx="1433195" cy="382270"/>
          <wp:effectExtent l="0" t="0" r="0" b="0"/>
          <wp:wrapNone/>
          <wp:docPr id="1780902433"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433195" cy="38227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44E4059D"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12B8" w:rsidRDefault="001D12B8" w14:paraId="4AE11FC5" w14:textId="77777777">
      <w:pPr>
        <w:spacing w:after="0" w:line="240" w:lineRule="auto"/>
      </w:pPr>
      <w:r>
        <w:separator/>
      </w:r>
    </w:p>
  </w:footnote>
  <w:footnote w:type="continuationSeparator" w:id="0">
    <w:p w:rsidR="001D12B8" w:rsidRDefault="001D12B8" w14:paraId="653EEA6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22063E76" w14:textId="7777777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6D6C" w:rsidRDefault="009D6D6C" w14:paraId="0E47D387" w14:textId="7777777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D6D6C" w:rsidRDefault="00BA1894" w14:paraId="660849BC" w14:textId="7777777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14:anchorId="3FF76949" wp14:editId="118EEDA3">
          <wp:simplePos x="0" y="0"/>
          <wp:positionH relativeFrom="column">
            <wp:posOffset>-914015</wp:posOffset>
          </wp:positionH>
          <wp:positionV relativeFrom="paragraph">
            <wp:posOffset>-913694</wp:posOffset>
          </wp:positionV>
          <wp:extent cx="8983227" cy="4990682"/>
          <wp:effectExtent l="0" t="0" r="0" b="0"/>
          <wp:wrapNone/>
          <wp:docPr id="1780902435" name="image3.png" descr="A white and grey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white and grey background&#10;&#10;Description automatically generated with medium confidence"/>
                  <pic:cNvPicPr preferRelativeResize="0"/>
                </pic:nvPicPr>
                <pic:blipFill>
                  <a:blip r:embed="rId1"/>
                  <a:srcRect/>
                  <a:stretch>
                    <a:fillRect/>
                  </a:stretch>
                </pic:blipFill>
                <pic:spPr>
                  <a:xfrm>
                    <a:off x="0" y="0"/>
                    <a:ext cx="8983227" cy="4990682"/>
                  </a:xfrm>
                  <a:prstGeom prst="rect">
                    <a:avLst/>
                  </a:prstGeom>
                  <a:ln/>
                </pic:spPr>
              </pic:pic>
            </a:graphicData>
          </a:graphic>
        </wp:anchor>
      </w:drawing>
    </w:r>
    <w:r>
      <w:rPr>
        <w:noProof/>
      </w:rPr>
      <w:drawing>
        <wp:anchor distT="0" distB="0" distL="0" distR="0" simplePos="0" relativeHeight="251659264" behindDoc="1" locked="0" layoutInCell="1" hidden="0" allowOverlap="1" wp14:anchorId="333F5112" wp14:editId="1F15E4A0">
          <wp:simplePos x="0" y="0"/>
          <wp:positionH relativeFrom="column">
            <wp:posOffset>30146</wp:posOffset>
          </wp:positionH>
          <wp:positionV relativeFrom="paragraph">
            <wp:posOffset>-622996</wp:posOffset>
          </wp:positionV>
          <wp:extent cx="1568192" cy="418184"/>
          <wp:effectExtent l="0" t="0" r="0" b="0"/>
          <wp:wrapNone/>
          <wp:docPr id="1780902432"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568192" cy="41818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40B"/>
    <w:multiLevelType w:val="hybridMultilevel"/>
    <w:tmpl w:val="22FA5D8C"/>
    <w:lvl w:ilvl="0" w:tplc="1F541DE6">
      <w:start w:val="1"/>
      <w:numFmt w:val="bullet"/>
      <w:lvlText w:val=""/>
      <w:lvlJc w:val="left"/>
      <w:pPr>
        <w:ind w:left="1440" w:hanging="360"/>
      </w:pPr>
      <w:rPr>
        <w:rFonts w:ascii="Symbol" w:hAnsi="Symbol"/>
      </w:rPr>
    </w:lvl>
    <w:lvl w:ilvl="1" w:tplc="6EBA6A30">
      <w:start w:val="1"/>
      <w:numFmt w:val="bullet"/>
      <w:lvlText w:val=""/>
      <w:lvlJc w:val="left"/>
      <w:pPr>
        <w:ind w:left="1440" w:hanging="360"/>
      </w:pPr>
      <w:rPr>
        <w:rFonts w:ascii="Symbol" w:hAnsi="Symbol"/>
      </w:rPr>
    </w:lvl>
    <w:lvl w:ilvl="2" w:tplc="1AE4DF4C">
      <w:start w:val="1"/>
      <w:numFmt w:val="bullet"/>
      <w:lvlText w:val=""/>
      <w:lvlJc w:val="left"/>
      <w:pPr>
        <w:ind w:left="1440" w:hanging="360"/>
      </w:pPr>
      <w:rPr>
        <w:rFonts w:ascii="Symbol" w:hAnsi="Symbol"/>
      </w:rPr>
    </w:lvl>
    <w:lvl w:ilvl="3" w:tplc="173EE3BE">
      <w:start w:val="1"/>
      <w:numFmt w:val="bullet"/>
      <w:lvlText w:val=""/>
      <w:lvlJc w:val="left"/>
      <w:pPr>
        <w:ind w:left="1440" w:hanging="360"/>
      </w:pPr>
      <w:rPr>
        <w:rFonts w:ascii="Symbol" w:hAnsi="Symbol"/>
      </w:rPr>
    </w:lvl>
    <w:lvl w:ilvl="4" w:tplc="76503782">
      <w:start w:val="1"/>
      <w:numFmt w:val="bullet"/>
      <w:lvlText w:val=""/>
      <w:lvlJc w:val="left"/>
      <w:pPr>
        <w:ind w:left="1440" w:hanging="360"/>
      </w:pPr>
      <w:rPr>
        <w:rFonts w:ascii="Symbol" w:hAnsi="Symbol"/>
      </w:rPr>
    </w:lvl>
    <w:lvl w:ilvl="5" w:tplc="E69EED82">
      <w:start w:val="1"/>
      <w:numFmt w:val="bullet"/>
      <w:lvlText w:val=""/>
      <w:lvlJc w:val="left"/>
      <w:pPr>
        <w:ind w:left="1440" w:hanging="360"/>
      </w:pPr>
      <w:rPr>
        <w:rFonts w:ascii="Symbol" w:hAnsi="Symbol"/>
      </w:rPr>
    </w:lvl>
    <w:lvl w:ilvl="6" w:tplc="2DD6E5F4">
      <w:start w:val="1"/>
      <w:numFmt w:val="bullet"/>
      <w:lvlText w:val=""/>
      <w:lvlJc w:val="left"/>
      <w:pPr>
        <w:ind w:left="1440" w:hanging="360"/>
      </w:pPr>
      <w:rPr>
        <w:rFonts w:ascii="Symbol" w:hAnsi="Symbol"/>
      </w:rPr>
    </w:lvl>
    <w:lvl w:ilvl="7" w:tplc="824C0114">
      <w:start w:val="1"/>
      <w:numFmt w:val="bullet"/>
      <w:lvlText w:val=""/>
      <w:lvlJc w:val="left"/>
      <w:pPr>
        <w:ind w:left="1440" w:hanging="360"/>
      </w:pPr>
      <w:rPr>
        <w:rFonts w:ascii="Symbol" w:hAnsi="Symbol"/>
      </w:rPr>
    </w:lvl>
    <w:lvl w:ilvl="8" w:tplc="DA80EDB2">
      <w:start w:val="1"/>
      <w:numFmt w:val="bullet"/>
      <w:lvlText w:val=""/>
      <w:lvlJc w:val="left"/>
      <w:pPr>
        <w:ind w:left="1440" w:hanging="360"/>
      </w:pPr>
      <w:rPr>
        <w:rFonts w:ascii="Symbol" w:hAnsi="Symbol"/>
      </w:rPr>
    </w:lvl>
  </w:abstractNum>
  <w:abstractNum w:abstractNumId="1" w15:restartNumberingAfterBreak="0">
    <w:nsid w:val="04C11E84"/>
    <w:multiLevelType w:val="multilevel"/>
    <w:tmpl w:val="CD9C7A5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6942ED"/>
    <w:multiLevelType w:val="multilevel"/>
    <w:tmpl w:val="64D49B1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022254"/>
    <w:multiLevelType w:val="multilevel"/>
    <w:tmpl w:val="72B2BA7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6744BA9"/>
    <w:multiLevelType w:val="multilevel"/>
    <w:tmpl w:val="B6125A2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074625"/>
    <w:multiLevelType w:val="multilevel"/>
    <w:tmpl w:val="914A363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A870DB7"/>
    <w:multiLevelType w:val="multilevel"/>
    <w:tmpl w:val="94564A4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B903F8D"/>
    <w:multiLevelType w:val="multilevel"/>
    <w:tmpl w:val="8F46001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170B02"/>
    <w:multiLevelType w:val="multilevel"/>
    <w:tmpl w:val="EB38710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C9303FB"/>
    <w:multiLevelType w:val="multilevel"/>
    <w:tmpl w:val="A956B4C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2A62FA1"/>
    <w:multiLevelType w:val="multilevel"/>
    <w:tmpl w:val="F30CC2D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59A7A3A"/>
    <w:multiLevelType w:val="multilevel"/>
    <w:tmpl w:val="BEC899B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6A44F76"/>
    <w:multiLevelType w:val="multilevel"/>
    <w:tmpl w:val="2C18239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FA2DD7"/>
    <w:multiLevelType w:val="multilevel"/>
    <w:tmpl w:val="A2A420E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09C2E4D"/>
    <w:multiLevelType w:val="multilevel"/>
    <w:tmpl w:val="0484A31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5837DC"/>
    <w:multiLevelType w:val="multilevel"/>
    <w:tmpl w:val="427AD04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3D26323"/>
    <w:multiLevelType w:val="multilevel"/>
    <w:tmpl w:val="1904F27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5CB220E"/>
    <w:multiLevelType w:val="multilevel"/>
    <w:tmpl w:val="69E2635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9142391"/>
    <w:multiLevelType w:val="multilevel"/>
    <w:tmpl w:val="3212482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AE0173F"/>
    <w:multiLevelType w:val="multilevel"/>
    <w:tmpl w:val="26B6775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B0D428F"/>
    <w:multiLevelType w:val="multilevel"/>
    <w:tmpl w:val="3DAE8DE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E8556BC"/>
    <w:multiLevelType w:val="multilevel"/>
    <w:tmpl w:val="6556F42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0490C03"/>
    <w:multiLevelType w:val="multilevel"/>
    <w:tmpl w:val="1A4634C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7B261A3"/>
    <w:multiLevelType w:val="multilevel"/>
    <w:tmpl w:val="0554CD4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A4934BD"/>
    <w:multiLevelType w:val="multilevel"/>
    <w:tmpl w:val="FE4654E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DE00777"/>
    <w:multiLevelType w:val="multilevel"/>
    <w:tmpl w:val="0EE25F3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50815F2"/>
    <w:multiLevelType w:val="multilevel"/>
    <w:tmpl w:val="21541848"/>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68E710F"/>
    <w:multiLevelType w:val="multilevel"/>
    <w:tmpl w:val="19B4819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7E861B7"/>
    <w:multiLevelType w:val="multilevel"/>
    <w:tmpl w:val="E628345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D2424B2"/>
    <w:multiLevelType w:val="multilevel"/>
    <w:tmpl w:val="FC2E269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F7D37A8"/>
    <w:multiLevelType w:val="multilevel"/>
    <w:tmpl w:val="D014482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26C39A0"/>
    <w:multiLevelType w:val="multilevel"/>
    <w:tmpl w:val="F160B45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5A24EBD"/>
    <w:multiLevelType w:val="multilevel"/>
    <w:tmpl w:val="FFAE5E5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7027200"/>
    <w:multiLevelType w:val="multilevel"/>
    <w:tmpl w:val="79260BA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B5C0473"/>
    <w:multiLevelType w:val="multilevel"/>
    <w:tmpl w:val="98660B3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C9A305F"/>
    <w:multiLevelType w:val="multilevel"/>
    <w:tmpl w:val="B52015B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D8E36D6"/>
    <w:multiLevelType w:val="multilevel"/>
    <w:tmpl w:val="F568497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0D86EB3"/>
    <w:multiLevelType w:val="multilevel"/>
    <w:tmpl w:val="35021CF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12C71E2"/>
    <w:multiLevelType w:val="hybridMultilevel"/>
    <w:tmpl w:val="5D7E3612"/>
    <w:lvl w:ilvl="0" w:tplc="A59489A4">
      <w:start w:val="1"/>
      <w:numFmt w:val="bullet"/>
      <w:lvlText w:val=""/>
      <w:lvlJc w:val="left"/>
      <w:pPr>
        <w:ind w:left="2160" w:hanging="360"/>
      </w:pPr>
      <w:rPr>
        <w:rFonts w:ascii="Symbol" w:hAnsi="Symbol"/>
      </w:rPr>
    </w:lvl>
    <w:lvl w:ilvl="1" w:tplc="D096B61A">
      <w:start w:val="1"/>
      <w:numFmt w:val="bullet"/>
      <w:lvlText w:val=""/>
      <w:lvlJc w:val="left"/>
      <w:pPr>
        <w:ind w:left="2160" w:hanging="360"/>
      </w:pPr>
      <w:rPr>
        <w:rFonts w:ascii="Symbol" w:hAnsi="Symbol"/>
      </w:rPr>
    </w:lvl>
    <w:lvl w:ilvl="2" w:tplc="B420D1E0">
      <w:start w:val="1"/>
      <w:numFmt w:val="bullet"/>
      <w:lvlText w:val=""/>
      <w:lvlJc w:val="left"/>
      <w:pPr>
        <w:ind w:left="2160" w:hanging="360"/>
      </w:pPr>
      <w:rPr>
        <w:rFonts w:ascii="Symbol" w:hAnsi="Symbol"/>
      </w:rPr>
    </w:lvl>
    <w:lvl w:ilvl="3" w:tplc="0FA6B81A">
      <w:start w:val="1"/>
      <w:numFmt w:val="bullet"/>
      <w:lvlText w:val=""/>
      <w:lvlJc w:val="left"/>
      <w:pPr>
        <w:ind w:left="2160" w:hanging="360"/>
      </w:pPr>
      <w:rPr>
        <w:rFonts w:ascii="Symbol" w:hAnsi="Symbol"/>
      </w:rPr>
    </w:lvl>
    <w:lvl w:ilvl="4" w:tplc="329CF42E">
      <w:start w:val="1"/>
      <w:numFmt w:val="bullet"/>
      <w:lvlText w:val=""/>
      <w:lvlJc w:val="left"/>
      <w:pPr>
        <w:ind w:left="2160" w:hanging="360"/>
      </w:pPr>
      <w:rPr>
        <w:rFonts w:ascii="Symbol" w:hAnsi="Symbol"/>
      </w:rPr>
    </w:lvl>
    <w:lvl w:ilvl="5" w:tplc="395832A4">
      <w:start w:val="1"/>
      <w:numFmt w:val="bullet"/>
      <w:lvlText w:val=""/>
      <w:lvlJc w:val="left"/>
      <w:pPr>
        <w:ind w:left="2160" w:hanging="360"/>
      </w:pPr>
      <w:rPr>
        <w:rFonts w:ascii="Symbol" w:hAnsi="Symbol"/>
      </w:rPr>
    </w:lvl>
    <w:lvl w:ilvl="6" w:tplc="2932EC32">
      <w:start w:val="1"/>
      <w:numFmt w:val="bullet"/>
      <w:lvlText w:val=""/>
      <w:lvlJc w:val="left"/>
      <w:pPr>
        <w:ind w:left="2160" w:hanging="360"/>
      </w:pPr>
      <w:rPr>
        <w:rFonts w:ascii="Symbol" w:hAnsi="Symbol"/>
      </w:rPr>
    </w:lvl>
    <w:lvl w:ilvl="7" w:tplc="D4520424">
      <w:start w:val="1"/>
      <w:numFmt w:val="bullet"/>
      <w:lvlText w:val=""/>
      <w:lvlJc w:val="left"/>
      <w:pPr>
        <w:ind w:left="2160" w:hanging="360"/>
      </w:pPr>
      <w:rPr>
        <w:rFonts w:ascii="Symbol" w:hAnsi="Symbol"/>
      </w:rPr>
    </w:lvl>
    <w:lvl w:ilvl="8" w:tplc="24B811D0">
      <w:start w:val="1"/>
      <w:numFmt w:val="bullet"/>
      <w:lvlText w:val=""/>
      <w:lvlJc w:val="left"/>
      <w:pPr>
        <w:ind w:left="2160" w:hanging="360"/>
      </w:pPr>
      <w:rPr>
        <w:rFonts w:ascii="Symbol" w:hAnsi="Symbol"/>
      </w:rPr>
    </w:lvl>
  </w:abstractNum>
  <w:abstractNum w:abstractNumId="39" w15:restartNumberingAfterBreak="0">
    <w:nsid w:val="7713531C"/>
    <w:multiLevelType w:val="multilevel"/>
    <w:tmpl w:val="3884A2B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8122DD0"/>
    <w:multiLevelType w:val="multilevel"/>
    <w:tmpl w:val="6360B62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91D2450"/>
    <w:multiLevelType w:val="multilevel"/>
    <w:tmpl w:val="8C98403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A781941"/>
    <w:multiLevelType w:val="multilevel"/>
    <w:tmpl w:val="2A5A023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D492743"/>
    <w:multiLevelType w:val="multilevel"/>
    <w:tmpl w:val="DF1CDC06"/>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89364675">
    <w:abstractNumId w:val="25"/>
  </w:num>
  <w:num w:numId="2" w16cid:durableId="1273627450">
    <w:abstractNumId w:val="20"/>
  </w:num>
  <w:num w:numId="3" w16cid:durableId="1225986838">
    <w:abstractNumId w:val="13"/>
  </w:num>
  <w:num w:numId="4" w16cid:durableId="1793088215">
    <w:abstractNumId w:val="11"/>
  </w:num>
  <w:num w:numId="5" w16cid:durableId="647396992">
    <w:abstractNumId w:val="24"/>
  </w:num>
  <w:num w:numId="6" w16cid:durableId="396587780">
    <w:abstractNumId w:val="31"/>
  </w:num>
  <w:num w:numId="7" w16cid:durableId="105388929">
    <w:abstractNumId w:val="30"/>
  </w:num>
  <w:num w:numId="8" w16cid:durableId="903174489">
    <w:abstractNumId w:val="9"/>
  </w:num>
  <w:num w:numId="9" w16cid:durableId="1408309817">
    <w:abstractNumId w:val="40"/>
  </w:num>
  <w:num w:numId="10" w16cid:durableId="1709912193">
    <w:abstractNumId w:val="6"/>
  </w:num>
  <w:num w:numId="11" w16cid:durableId="44180782">
    <w:abstractNumId w:val="22"/>
  </w:num>
  <w:num w:numId="12" w16cid:durableId="1817646157">
    <w:abstractNumId w:val="5"/>
  </w:num>
  <w:num w:numId="13" w16cid:durableId="506093311">
    <w:abstractNumId w:val="12"/>
  </w:num>
  <w:num w:numId="14" w16cid:durableId="72436584">
    <w:abstractNumId w:val="29"/>
  </w:num>
  <w:num w:numId="15" w16cid:durableId="1758211170">
    <w:abstractNumId w:val="21"/>
  </w:num>
  <w:num w:numId="16" w16cid:durableId="42560899">
    <w:abstractNumId w:val="4"/>
  </w:num>
  <w:num w:numId="17" w16cid:durableId="137306013">
    <w:abstractNumId w:val="27"/>
  </w:num>
  <w:num w:numId="18" w16cid:durableId="1051000970">
    <w:abstractNumId w:val="17"/>
  </w:num>
  <w:num w:numId="19" w16cid:durableId="296306021">
    <w:abstractNumId w:val="23"/>
  </w:num>
  <w:num w:numId="20" w16cid:durableId="515313835">
    <w:abstractNumId w:val="10"/>
  </w:num>
  <w:num w:numId="21" w16cid:durableId="867793372">
    <w:abstractNumId w:val="18"/>
  </w:num>
  <w:num w:numId="22" w16cid:durableId="1109085329">
    <w:abstractNumId w:val="35"/>
  </w:num>
  <w:num w:numId="23" w16cid:durableId="1333679777">
    <w:abstractNumId w:val="42"/>
  </w:num>
  <w:num w:numId="24" w16cid:durableId="649094615">
    <w:abstractNumId w:val="39"/>
  </w:num>
  <w:num w:numId="25" w16cid:durableId="788011293">
    <w:abstractNumId w:val="14"/>
  </w:num>
  <w:num w:numId="26" w16cid:durableId="1630285771">
    <w:abstractNumId w:val="2"/>
  </w:num>
  <w:num w:numId="27" w16cid:durableId="129977958">
    <w:abstractNumId w:val="43"/>
  </w:num>
  <w:num w:numId="28" w16cid:durableId="1521046774">
    <w:abstractNumId w:val="7"/>
  </w:num>
  <w:num w:numId="29" w16cid:durableId="612900395">
    <w:abstractNumId w:val="19"/>
  </w:num>
  <w:num w:numId="30" w16cid:durableId="1955280526">
    <w:abstractNumId w:val="16"/>
  </w:num>
  <w:num w:numId="31" w16cid:durableId="1747144837">
    <w:abstractNumId w:val="26"/>
  </w:num>
  <w:num w:numId="32" w16cid:durableId="43331388">
    <w:abstractNumId w:val="8"/>
  </w:num>
  <w:num w:numId="33" w16cid:durableId="904101717">
    <w:abstractNumId w:val="15"/>
  </w:num>
  <w:num w:numId="34" w16cid:durableId="820659061">
    <w:abstractNumId w:val="28"/>
  </w:num>
  <w:num w:numId="35" w16cid:durableId="2110395258">
    <w:abstractNumId w:val="32"/>
  </w:num>
  <w:num w:numId="36" w16cid:durableId="1396129122">
    <w:abstractNumId w:val="37"/>
  </w:num>
  <w:num w:numId="37" w16cid:durableId="1505710119">
    <w:abstractNumId w:val="3"/>
  </w:num>
  <w:num w:numId="38" w16cid:durableId="1005086433">
    <w:abstractNumId w:val="34"/>
  </w:num>
  <w:num w:numId="39" w16cid:durableId="920987503">
    <w:abstractNumId w:val="33"/>
  </w:num>
  <w:num w:numId="40" w16cid:durableId="464396006">
    <w:abstractNumId w:val="41"/>
  </w:num>
  <w:num w:numId="41" w16cid:durableId="221252806">
    <w:abstractNumId w:val="36"/>
  </w:num>
  <w:num w:numId="42" w16cid:durableId="1700083982">
    <w:abstractNumId w:val="1"/>
  </w:num>
  <w:num w:numId="43" w16cid:durableId="713431102">
    <w:abstractNumId w:val="0"/>
  </w:num>
  <w:num w:numId="44" w16cid:durableId="1827014223">
    <w:abstractNumId w:val="3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6C"/>
    <w:rsid w:val="00036E9E"/>
    <w:rsid w:val="00067345"/>
    <w:rsid w:val="000F7DA6"/>
    <w:rsid w:val="00182B05"/>
    <w:rsid w:val="001D12B8"/>
    <w:rsid w:val="002126E1"/>
    <w:rsid w:val="003C1A7A"/>
    <w:rsid w:val="006046D5"/>
    <w:rsid w:val="008A526D"/>
    <w:rsid w:val="009D6D6C"/>
    <w:rsid w:val="00B228E2"/>
    <w:rsid w:val="00B5069C"/>
    <w:rsid w:val="00BA1894"/>
    <w:rsid w:val="0150FD0D"/>
    <w:rsid w:val="0C942A82"/>
    <w:rsid w:val="0D31CBA8"/>
    <w:rsid w:val="0E0F4F96"/>
    <w:rsid w:val="0EBF610A"/>
    <w:rsid w:val="0F84C5CD"/>
    <w:rsid w:val="1722D8B8"/>
    <w:rsid w:val="21DC2545"/>
    <w:rsid w:val="2374CA13"/>
    <w:rsid w:val="24536E38"/>
    <w:rsid w:val="2924C6C0"/>
    <w:rsid w:val="2B440205"/>
    <w:rsid w:val="30CED432"/>
    <w:rsid w:val="326D7D2D"/>
    <w:rsid w:val="34826603"/>
    <w:rsid w:val="37854CF5"/>
    <w:rsid w:val="3A9CAE14"/>
    <w:rsid w:val="3B4174C3"/>
    <w:rsid w:val="47F254F6"/>
    <w:rsid w:val="51154F8C"/>
    <w:rsid w:val="5141A1BE"/>
    <w:rsid w:val="523828DA"/>
    <w:rsid w:val="5BCBA294"/>
    <w:rsid w:val="5D6C472C"/>
    <w:rsid w:val="63E9FC27"/>
    <w:rsid w:val="651EF0FF"/>
    <w:rsid w:val="6ACF0196"/>
    <w:rsid w:val="708872F0"/>
    <w:rsid w:val="7B079142"/>
    <w:rsid w:val="7F3BCA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06353"/>
  <w15:docId w15:val="{6E27826F-2BC8-4693-A2A1-478CD076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microsoft.com/office/2016/09/relationships/commentsIds" Target="commentsIds.xml" Id="rId13" /><Relationship Type="http://schemas.openxmlformats.org/officeDocument/2006/relationships/hyperlink" Target="https://prod-toolkit-media.s3.amazonaws.com/media/Trusted-Messengers-Plan-1.docx" TargetMode="External"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hyperlink" Target="https://www.participatorybudgeting.org/about-pb/" TargetMode="Externa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https://prod-toolkit-media.s3.amazonaws.com/media/Trusted-Messengers-Plan-1.docx" TargetMode="External" Id="rId17" /><Relationship Type="http://schemas.openxmlformats.org/officeDocument/2006/relationships/header" Target="header1.xm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hyperlink" Target="https://www.participatorybudgeting.org/about-pb/" TargetMode="External" Id="rId16" /><Relationship Type="http://schemas.openxmlformats.org/officeDocument/2006/relationships/hyperlink" Target="https://www.vibrantcitieslab.com/case-studies/portland-parks-and-recreation-planting-an-equitable-forest/" TargetMode="External" Id="rId20" /><Relationship Type="http://schemas.openxmlformats.org/officeDocument/2006/relationships/header" Target="header3.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vibrantcitieslab.com/case-studies/portland-parks-and-recreation-planting-an-equitable-forest/" TargetMode="External" Id="rId24" /><Relationship Type="http://schemas.microsoft.com/office/2011/relationships/people" Target="people.xml" Id="rId32" /><Relationship Type="http://schemas.openxmlformats.org/officeDocument/2006/relationships/numbering" Target="numbering.xml" Id="rId5" /><Relationship Type="http://schemas.openxmlformats.org/officeDocument/2006/relationships/hyperlink" Target="https://www.participatorybudgeting.org/about-pb/" TargetMode="External" Id="rId15" /><Relationship Type="http://schemas.openxmlformats.org/officeDocument/2006/relationships/hyperlink" Target="https://engagement-toolkit.phila.gov/guides/community-leadership/" TargetMode="External" Id="rId23" /><Relationship Type="http://schemas.openxmlformats.org/officeDocument/2006/relationships/footer" Target="footer2.xml" Id="rId28" /><Relationship Type="http://schemas.openxmlformats.org/officeDocument/2006/relationships/endnotes" Target="endnotes.xml" Id="rId10" /><Relationship Type="http://schemas.openxmlformats.org/officeDocument/2006/relationships/hyperlink" Target="https://www.vibrantcitieslab.com/case-studies/portland-parks-and-recreation-planting-an-equitable-forest/" TargetMode="External" Id="rId19" /><Relationship Type="http://schemas.openxmlformats.org/officeDocument/2006/relationships/fontTable" Target="fontTable.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participatorybudgeting.org/about-pb/" TargetMode="External" Id="rId22" /><Relationship Type="http://schemas.openxmlformats.org/officeDocument/2006/relationships/footer" Target="footer1.xml" Id="rId27" /><Relationship Type="http://schemas.openxmlformats.org/officeDocument/2006/relationships/footer" Target="footer3.xml" Id="rId30" /><Relationship Type="http://schemas.openxmlformats.org/officeDocument/2006/relationships/webSettings" Target="webSettings.xml" Id="rId8"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WfHh/xcD5bB81pensEOwKQvSSg==">CgMxLjA4AHIhMXR4eVZkd21SaG16bkVXeHNOMHNOR2dNS1pYR0lDWEZl</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5EB1E8-730D-469B-8D3E-C83CF0102149}">
  <ds:schemaRefs>
    <ds:schemaRef ds:uri="http://schemas.microsoft.com/office/2006/metadata/properties"/>
    <ds:schemaRef ds:uri="http://schemas.microsoft.com/office/infopath/2007/PartnerControls"/>
    <ds:schemaRef ds:uri="5888fc64-4fc7-4ce5-9021-c38539a81fbe"/>
  </ds:schemaRefs>
</ds:datastoreItem>
</file>

<file path=customXml/itemProps3.xml><?xml version="1.0" encoding="utf-8"?>
<ds:datastoreItem xmlns:ds="http://schemas.openxmlformats.org/officeDocument/2006/customXml" ds:itemID="{D584305D-E6E1-4CCF-BD7C-073429FF6F85}">
  <ds:schemaRefs>
    <ds:schemaRef ds:uri="http://schemas.microsoft.com/sharepoint/v3/contenttype/forms"/>
  </ds:schemaRefs>
</ds:datastoreItem>
</file>

<file path=customXml/itemProps4.xml><?xml version="1.0" encoding="utf-8"?>
<ds:datastoreItem xmlns:ds="http://schemas.openxmlformats.org/officeDocument/2006/customXml" ds:itemID="{78509FD3-F6F0-401D-82BD-87628BEF5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Baxter, Ian (ib7jx)</dc:creator>
  <cp:lastModifiedBy>Baxter, Ian (ib7jx)</cp:lastModifiedBy>
  <cp:revision>7</cp:revision>
  <dcterms:created xsi:type="dcterms:W3CDTF">2024-08-07T14:56:00Z</dcterms:created>
  <dcterms:modified xsi:type="dcterms:W3CDTF">2024-09-16T12:58:03Z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